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01708" w14:textId="570BB5C3" w:rsidR="00C50CC3" w:rsidRDefault="00C50CC3" w:rsidP="007B5995">
      <w:pPr>
        <w:pStyle w:val="Rubrik1"/>
      </w:pPr>
      <w:r w:rsidRPr="00526E28">
        <w:t>Ramavtal Juridiska Informationstjänster STIC 202</w:t>
      </w:r>
      <w:r w:rsidR="00121451">
        <w:t xml:space="preserve">4-2 </w:t>
      </w:r>
      <w:r w:rsidR="000C4BE4">
        <w:br/>
        <w:t xml:space="preserve">Projektnummer </w:t>
      </w:r>
      <w:r w:rsidR="00121451">
        <w:t>10603</w:t>
      </w:r>
    </w:p>
    <w:p w14:paraId="132FB787" w14:textId="77777777" w:rsidR="006152CC" w:rsidRDefault="006152CC" w:rsidP="006152CC"/>
    <w:p w14:paraId="57923E6A" w14:textId="146BD155" w:rsidR="006152CC" w:rsidRPr="006152CC" w:rsidRDefault="006152CC" w:rsidP="006152CC">
      <w:r w:rsidRPr="005F1CA0">
        <w:t>Detta dokument är</w:t>
      </w:r>
      <w:r w:rsidR="00342F10" w:rsidRPr="005F1CA0">
        <w:t xml:space="preserve"> framtaget endast för att vara en hjälp för Upphandlande myndigheter vid avrop</w:t>
      </w:r>
      <w:r w:rsidR="00E819B2" w:rsidRPr="005F1CA0">
        <w:t>.</w:t>
      </w:r>
      <w:r w:rsidR="00917DAB" w:rsidRPr="005F1CA0">
        <w:t xml:space="preserve"> </w:t>
      </w:r>
      <w:r w:rsidR="0020241D" w:rsidRPr="005F1CA0">
        <w:t>På ramavtalssidan</w:t>
      </w:r>
      <w:r w:rsidR="00703181" w:rsidRPr="005F1CA0">
        <w:t xml:space="preserve"> </w:t>
      </w:r>
      <w:r w:rsidR="00047871">
        <w:t xml:space="preserve">under fliken ’leverantörer’ </w:t>
      </w:r>
      <w:r w:rsidR="00703181" w:rsidRPr="005F1CA0">
        <w:t>finns bilagor från leverantörerna som beskriver deras tjänsteutbud</w:t>
      </w:r>
      <w:r w:rsidR="00270381" w:rsidRPr="005F1CA0">
        <w:t xml:space="preserve"> och förutom dessa bilagor uppmanar vi till att ta kontakt med leverantörerna för att få deras </w:t>
      </w:r>
      <w:r w:rsidR="005F1CA0" w:rsidRPr="005F1CA0">
        <w:t xml:space="preserve">fullständiga </w:t>
      </w:r>
      <w:r w:rsidR="00270381" w:rsidRPr="005F1CA0">
        <w:t>tjänsteutbud presenterat</w:t>
      </w:r>
      <w:r w:rsidR="00D2311B">
        <w:t xml:space="preserve"> inför avrop.</w:t>
      </w:r>
    </w:p>
    <w:p w14:paraId="26E07190" w14:textId="77777777" w:rsidR="00C50CC3" w:rsidRDefault="00C50CC3" w:rsidP="00526E28"/>
    <w:p w14:paraId="101684E5" w14:textId="67BE4E77" w:rsidR="00C50CC3" w:rsidRPr="00526E28" w:rsidRDefault="00DC6475" w:rsidP="00526E28">
      <w:pPr>
        <w:pStyle w:val="Rubrik1"/>
        <w:numPr>
          <w:ilvl w:val="0"/>
          <w:numId w:val="4"/>
        </w:numPr>
      </w:pPr>
      <w:r>
        <w:t>Ramavtal</w:t>
      </w:r>
      <w:r w:rsidR="009F0641">
        <w:t xml:space="preserve"> </w:t>
      </w:r>
    </w:p>
    <w:p w14:paraId="4AF50FF8" w14:textId="41FBAC97" w:rsidR="00C50CC3" w:rsidRDefault="00DC6475" w:rsidP="007B5995">
      <w:r>
        <w:t>Ramavtal har tecknats med tre (3) leverantörer</w:t>
      </w:r>
      <w:r w:rsidR="00F003CA">
        <w:t xml:space="preserve"> som anges här nedan utan inbördes ordning:</w:t>
      </w:r>
    </w:p>
    <w:p w14:paraId="294758A9" w14:textId="0D2EA972" w:rsidR="00F003CA" w:rsidRDefault="00A80561" w:rsidP="00F003CA">
      <w:pPr>
        <w:pStyle w:val="Liststycke"/>
        <w:numPr>
          <w:ilvl w:val="0"/>
          <w:numId w:val="17"/>
        </w:numPr>
      </w:pPr>
      <w:r>
        <w:t>Norstedts Juridik AB</w:t>
      </w:r>
    </w:p>
    <w:p w14:paraId="46293DB4" w14:textId="3269C981" w:rsidR="00A80561" w:rsidRDefault="00A80561" w:rsidP="00F003CA">
      <w:pPr>
        <w:pStyle w:val="Liststycke"/>
        <w:numPr>
          <w:ilvl w:val="0"/>
          <w:numId w:val="17"/>
        </w:numPr>
      </w:pPr>
      <w:proofErr w:type="spellStart"/>
      <w:r>
        <w:t>Infosocs</w:t>
      </w:r>
      <w:proofErr w:type="spellEnd"/>
      <w:r>
        <w:t xml:space="preserve"> Rättsdata AB</w:t>
      </w:r>
    </w:p>
    <w:p w14:paraId="5FA22EC5" w14:textId="11A53638" w:rsidR="00A80561" w:rsidRDefault="00A80561" w:rsidP="00F003CA">
      <w:pPr>
        <w:pStyle w:val="Liststycke"/>
        <w:numPr>
          <w:ilvl w:val="0"/>
          <w:numId w:val="17"/>
        </w:numPr>
      </w:pPr>
      <w:r>
        <w:t xml:space="preserve">JP </w:t>
      </w:r>
      <w:proofErr w:type="spellStart"/>
      <w:r>
        <w:t>Infonet</w:t>
      </w:r>
      <w:proofErr w:type="spellEnd"/>
      <w:r>
        <w:t xml:space="preserve"> AB</w:t>
      </w:r>
    </w:p>
    <w:p w14:paraId="30597086" w14:textId="722168D9" w:rsidR="00A80561" w:rsidRPr="00526E28" w:rsidRDefault="007F042E" w:rsidP="00A80561">
      <w:r>
        <w:t xml:space="preserve">De enskilda avropen (beställningarna) </w:t>
      </w:r>
      <w:r w:rsidR="00335872">
        <w:t xml:space="preserve">på ramavtalet sker med förnyad </w:t>
      </w:r>
      <w:r w:rsidR="003842AD">
        <w:t>konkurrensutsättning</w:t>
      </w:r>
      <w:r w:rsidR="00335872">
        <w:t xml:space="preserve"> som utgår från </w:t>
      </w:r>
      <w:r w:rsidR="00335872" w:rsidRPr="00335872">
        <w:rPr>
          <w:b/>
          <w:bCs/>
        </w:rPr>
        <w:t>yrkesgruppens eller verksamhetens specifika behov</w:t>
      </w:r>
      <w:r w:rsidR="00335872">
        <w:t>.</w:t>
      </w:r>
    </w:p>
    <w:p w14:paraId="61E1AE21" w14:textId="77777777" w:rsidR="00C50CC3" w:rsidRPr="00526E28" w:rsidRDefault="00C50CC3" w:rsidP="00526E28">
      <w:pPr>
        <w:pStyle w:val="Rubrik1"/>
        <w:numPr>
          <w:ilvl w:val="0"/>
          <w:numId w:val="4"/>
        </w:numPr>
      </w:pPr>
      <w:r w:rsidRPr="00526E28">
        <w:t>Tilldelning efter en förnyad konkurrensutsättning</w:t>
      </w:r>
    </w:p>
    <w:p w14:paraId="62A5C30F" w14:textId="7026E401" w:rsidR="00C50CC3" w:rsidRPr="00526E28" w:rsidRDefault="00C50CC3" w:rsidP="007B5995">
      <w:r w:rsidRPr="00526E28">
        <w:t xml:space="preserve">Förfarandet innebär att kommunen skickar en skriftlig avropsförfrågan till samtliga ramavtalsleverantörer </w:t>
      </w:r>
      <w:r w:rsidR="00C20A44">
        <w:t xml:space="preserve">som </w:t>
      </w:r>
      <w:r w:rsidRPr="00526E28">
        <w:t xml:space="preserve">på nytt </w:t>
      </w:r>
      <w:r w:rsidR="00C20A44">
        <w:t xml:space="preserve">får </w:t>
      </w:r>
      <w:r w:rsidRPr="00526E28">
        <w:t xml:space="preserve">lämna avropssvar i enlighet med de villkor som anges i ramavtalet. Detta görs för att avgöra vilken ramavtalsleverantör som kan erbjuda den för </w:t>
      </w:r>
      <w:r w:rsidR="007B5995">
        <w:t>kommunen</w:t>
      </w:r>
      <w:r w:rsidRPr="00526E28">
        <w:t xml:space="preserve"> bästa tjänsten utifrån de villkor som angetts i avropsförfrågan.</w:t>
      </w:r>
    </w:p>
    <w:p w14:paraId="0C390738" w14:textId="25B5321A" w:rsidR="00C50CC3" w:rsidRDefault="00C50CC3" w:rsidP="007B5995">
      <w:r w:rsidRPr="00526E28">
        <w:t>Fastställda villkor i ramavtalet kan inte omförhandlas i den förnyade konkurrensutsättningen och inte heller kan krav som ställts i ramavtalet ändras eller bytas ut. Om det är nödvändigt får dock villkoren preciseras och vid behov kompletteras. Det är då fråga om att komplettera eller förfina villkoren i ramavtalet för att fånga upp särskilda omständigheter som behöver uppfyllas för att kunna fullgöra ett enskilt kontrakt.</w:t>
      </w:r>
    </w:p>
    <w:p w14:paraId="032A658E" w14:textId="77777777" w:rsidR="00277AAD" w:rsidRPr="00BB75B8" w:rsidRDefault="00CF1CEF" w:rsidP="007B5995">
      <w:pPr>
        <w:rPr>
          <w:i/>
          <w:iCs/>
        </w:rPr>
      </w:pPr>
      <w:r w:rsidRPr="00BB75B8">
        <w:rPr>
          <w:i/>
          <w:iCs/>
        </w:rPr>
        <w:t xml:space="preserve">Se bilaga 02 – Krav på tjänsten </w:t>
      </w:r>
      <w:r w:rsidR="00277AAD" w:rsidRPr="00BB75B8">
        <w:rPr>
          <w:i/>
          <w:iCs/>
        </w:rPr>
        <w:t>för detaljerad information om kraven.</w:t>
      </w:r>
    </w:p>
    <w:p w14:paraId="074627FA" w14:textId="27F666B5" w:rsidR="00CF1CEF" w:rsidRPr="00BB75B8" w:rsidRDefault="00277AAD" w:rsidP="007B5995">
      <w:pPr>
        <w:rPr>
          <w:i/>
          <w:iCs/>
        </w:rPr>
      </w:pPr>
      <w:r w:rsidRPr="00BB75B8">
        <w:rPr>
          <w:i/>
          <w:iCs/>
        </w:rPr>
        <w:t xml:space="preserve">Se bilaga 04 </w:t>
      </w:r>
      <w:r w:rsidR="00007344" w:rsidRPr="00BB75B8">
        <w:rPr>
          <w:i/>
          <w:iCs/>
        </w:rPr>
        <w:t>–</w:t>
      </w:r>
      <w:r w:rsidRPr="00BB75B8">
        <w:rPr>
          <w:i/>
          <w:iCs/>
        </w:rPr>
        <w:t xml:space="preserve"> </w:t>
      </w:r>
      <w:r w:rsidR="00007344" w:rsidRPr="00BB75B8">
        <w:rPr>
          <w:i/>
          <w:iCs/>
        </w:rPr>
        <w:t>Avrop genom förnyad konkurrensutsättning för detaljerad information om avrop</w:t>
      </w:r>
      <w:r w:rsidR="00D92190">
        <w:rPr>
          <w:i/>
          <w:iCs/>
        </w:rPr>
        <w:t xml:space="preserve"> från upphandlingen</w:t>
      </w:r>
      <w:r w:rsidR="00007344" w:rsidRPr="00BB75B8">
        <w:rPr>
          <w:i/>
          <w:iCs/>
        </w:rPr>
        <w:t>.</w:t>
      </w:r>
      <w:r w:rsidR="00CF1CEF" w:rsidRPr="00BB75B8">
        <w:rPr>
          <w:i/>
          <w:iCs/>
        </w:rPr>
        <w:t xml:space="preserve"> </w:t>
      </w:r>
    </w:p>
    <w:p w14:paraId="05399B19" w14:textId="77777777" w:rsidR="008B5749" w:rsidRPr="00526E28" w:rsidRDefault="008B5749" w:rsidP="00526E28"/>
    <w:p w14:paraId="0DFFC706" w14:textId="77777777" w:rsidR="00C50CC3" w:rsidRPr="00526E28" w:rsidRDefault="00C50CC3" w:rsidP="00526E28">
      <w:pPr>
        <w:pStyle w:val="Rubrik1"/>
        <w:numPr>
          <w:ilvl w:val="0"/>
          <w:numId w:val="4"/>
        </w:numPr>
      </w:pPr>
      <w:r w:rsidRPr="00526E28">
        <w:t>Avropsförfrågan</w:t>
      </w:r>
    </w:p>
    <w:p w14:paraId="424CBF3C" w14:textId="15514115" w:rsidR="00DA2A4C" w:rsidRPr="00D84B51" w:rsidRDefault="003F0359" w:rsidP="00DA2A4C">
      <w:pPr>
        <w:pStyle w:val="Liststycke"/>
        <w:numPr>
          <w:ilvl w:val="0"/>
          <w:numId w:val="18"/>
        </w:numPr>
        <w:rPr>
          <w:b/>
          <w:bCs/>
        </w:rPr>
      </w:pPr>
      <w:r w:rsidRPr="00D84B51">
        <w:rPr>
          <w:b/>
          <w:bCs/>
        </w:rPr>
        <w:t xml:space="preserve">Behovet beskrivs </w:t>
      </w:r>
    </w:p>
    <w:p w14:paraId="465E74CD" w14:textId="01519850" w:rsidR="00E251AC" w:rsidRDefault="003F0359" w:rsidP="00E251AC">
      <w:pPr>
        <w:pStyle w:val="Liststycke"/>
      </w:pPr>
      <w:r w:rsidRPr="003F0359">
        <w:t>Användarens behov identifieras och beskrivs. Behovsinventeringen kommer att utgå från varje enskild tjänstepersons behov av information.</w:t>
      </w:r>
    </w:p>
    <w:p w14:paraId="68B36D81" w14:textId="77777777" w:rsidR="00C37B94" w:rsidRDefault="00AE01D8" w:rsidP="00C37B94">
      <w:pPr>
        <w:pStyle w:val="Liststycke"/>
      </w:pPr>
      <w:r w:rsidRPr="00881B3F">
        <w:t>Se avsnitt 5 för tjänsternas innehåll och paketeringar.</w:t>
      </w:r>
    </w:p>
    <w:p w14:paraId="68496AC3" w14:textId="2180E3E4" w:rsidR="00C37B94" w:rsidRPr="00C37B94" w:rsidRDefault="00C37B94" w:rsidP="00C37B94">
      <w:pPr>
        <w:pStyle w:val="Liststycke"/>
      </w:pPr>
      <w:r w:rsidRPr="00824D18">
        <w:rPr>
          <w:b/>
          <w:bCs/>
        </w:rPr>
        <w:t xml:space="preserve">Observera att lämnade priser i upphandlingen fungerar som takpris vid avrop. </w:t>
      </w:r>
    </w:p>
    <w:p w14:paraId="6685B770" w14:textId="77777777" w:rsidR="00D84B51" w:rsidRPr="001B1BE3" w:rsidRDefault="00D84B51" w:rsidP="00DA2A4C">
      <w:pPr>
        <w:pStyle w:val="Liststycke"/>
        <w:rPr>
          <w:i/>
          <w:iCs/>
        </w:rPr>
      </w:pPr>
    </w:p>
    <w:p w14:paraId="09F31045" w14:textId="4CC3D346" w:rsidR="001B1BE3" w:rsidRPr="00D84B51" w:rsidRDefault="001B1BE3" w:rsidP="001B1BE3">
      <w:pPr>
        <w:pStyle w:val="Liststycke"/>
        <w:numPr>
          <w:ilvl w:val="0"/>
          <w:numId w:val="18"/>
        </w:numPr>
        <w:rPr>
          <w:b/>
          <w:bCs/>
        </w:rPr>
      </w:pPr>
      <w:r w:rsidRPr="00D84B51">
        <w:rPr>
          <w:b/>
          <w:bCs/>
        </w:rPr>
        <w:t xml:space="preserve">Förnyad konkurrensutsättning </w:t>
      </w:r>
    </w:p>
    <w:p w14:paraId="73B1C280" w14:textId="77777777" w:rsidR="001B1BE3" w:rsidRDefault="001B1BE3" w:rsidP="001B1BE3">
      <w:pPr>
        <w:pStyle w:val="Liststycke"/>
      </w:pPr>
      <w:r w:rsidRPr="001B1BE3">
        <w:lastRenderedPageBreak/>
        <w:t xml:space="preserve">Avropsförfrågan ställs till samtliga antagna leverantörer och följande kriterier för tilldelning kan användas: </w:t>
      </w:r>
    </w:p>
    <w:p w14:paraId="0D413586" w14:textId="77777777" w:rsidR="001B1BE3" w:rsidRDefault="001B1BE3" w:rsidP="001B1BE3">
      <w:pPr>
        <w:pStyle w:val="Liststycke"/>
      </w:pPr>
      <w:r w:rsidRPr="001B1BE3">
        <w:t xml:space="preserve">• Pris </w:t>
      </w:r>
    </w:p>
    <w:p w14:paraId="6B2A3343" w14:textId="77777777" w:rsidR="001B1BE3" w:rsidRDefault="001B1BE3" w:rsidP="001B1BE3">
      <w:pPr>
        <w:pStyle w:val="Liststycke"/>
      </w:pPr>
      <w:r w:rsidRPr="001B1BE3">
        <w:t xml:space="preserve">• Kvalitet (t.ex. systemets användbarhet) </w:t>
      </w:r>
    </w:p>
    <w:p w14:paraId="2A84F305" w14:textId="77777777" w:rsidR="00FE0DF9" w:rsidRDefault="00FE0DF9" w:rsidP="001B1BE3">
      <w:pPr>
        <w:pStyle w:val="Liststycke"/>
      </w:pPr>
    </w:p>
    <w:p w14:paraId="187ABD9B" w14:textId="1574B1D3" w:rsidR="008B5749" w:rsidRDefault="001B1BE3" w:rsidP="001B1BE3">
      <w:pPr>
        <w:pStyle w:val="Liststycke"/>
      </w:pPr>
      <w:r w:rsidRPr="001B1BE3">
        <w:t>I avropsförfrågan anger upphandlande myndighet hur kriterierna ska viktas. Upphandlande myndighet får vid tilldelning välja att enbart utvärdera pris eller kvalitet. Upphandlande myndighet har möjlighet</w:t>
      </w:r>
      <w:r w:rsidR="009523A7">
        <w:t xml:space="preserve"> samt rekommenderas</w:t>
      </w:r>
      <w:r w:rsidRPr="001B1BE3">
        <w:t xml:space="preserve"> att i avropsförfrågan begära att uppfyllandet av utvärderingskriterierna bevisas genom till exempel anbudspresentationer. Hur utvärdering av avropssvar går till specificeras</w:t>
      </w:r>
      <w:r w:rsidR="00B5350A">
        <w:t xml:space="preserve"> av upphandlande myndighet</w:t>
      </w:r>
      <w:r w:rsidRPr="001B1BE3">
        <w:t xml:space="preserve"> i avropsförfrågan. I avropsförfrågan ska en skälig tidsfrist för att lämna avropssvar anges. </w:t>
      </w:r>
      <w:r w:rsidR="001353A2" w:rsidRPr="00526E28">
        <w:t>Avropssvaren ska vara skriftliga och innehållet omfattas av sekretess fram till det att beslut fattats om val av leverantör. Kontrakt tilldelas den ramavtalsleverantör som lämnat det ekonomiskt mest fördelaktiga anbudet utifrån de villkor som angetts i avropsförfrågan.</w:t>
      </w:r>
      <w:r w:rsidR="001353A2">
        <w:t xml:space="preserve"> </w:t>
      </w:r>
      <w:r w:rsidRPr="001B1BE3">
        <w:t>Om efterfrågad tjänst inte kan erbjudas ska orsak till detta meddelas upphandlande myndighet.</w:t>
      </w:r>
    </w:p>
    <w:p w14:paraId="3A5D5A7A" w14:textId="0FD83877" w:rsidR="004D5E01" w:rsidRDefault="004D5E01" w:rsidP="001B1BE3">
      <w:pPr>
        <w:pStyle w:val="Liststycke"/>
      </w:pPr>
      <w:r w:rsidRPr="00881B3F">
        <w:t xml:space="preserve">Se exempel på förnyade konkurrensutsättningar under avsnitt </w:t>
      </w:r>
      <w:r w:rsidR="0089066D" w:rsidRPr="00881B3F">
        <w:t>6.</w:t>
      </w:r>
    </w:p>
    <w:p w14:paraId="0286384C" w14:textId="77777777" w:rsidR="009022F4" w:rsidRDefault="009022F4" w:rsidP="001B1BE3">
      <w:pPr>
        <w:pStyle w:val="Liststycke"/>
      </w:pPr>
    </w:p>
    <w:p w14:paraId="00FD287F" w14:textId="618F75CD" w:rsidR="009022F4" w:rsidRDefault="00A73C98" w:rsidP="009022F4">
      <w:pPr>
        <w:pStyle w:val="Liststycke"/>
        <w:numPr>
          <w:ilvl w:val="0"/>
          <w:numId w:val="18"/>
        </w:numPr>
        <w:rPr>
          <w:b/>
          <w:bCs/>
        </w:rPr>
      </w:pPr>
      <w:r>
        <w:rPr>
          <w:b/>
          <w:bCs/>
        </w:rPr>
        <w:t>Tilldelning av kontrakt till antagen leverantör</w:t>
      </w:r>
    </w:p>
    <w:p w14:paraId="421AD906" w14:textId="549BAE94" w:rsidR="00A73C98" w:rsidRPr="00A73C98" w:rsidRDefault="00A73C98" w:rsidP="00A73C98">
      <w:pPr>
        <w:pStyle w:val="Liststycke"/>
      </w:pPr>
      <w:r w:rsidRPr="00A73C98">
        <w:t>Tilldelning från upphandlande myndighet av enskilda kontrakt till vinnande leverantör</w:t>
      </w:r>
      <w:r>
        <w:t>.</w:t>
      </w:r>
    </w:p>
    <w:p w14:paraId="37C89FC7" w14:textId="77777777" w:rsidR="00C50CC3" w:rsidRPr="00526E28" w:rsidRDefault="00C50CC3" w:rsidP="00684C04">
      <w:pPr>
        <w:pStyle w:val="Rubrik1"/>
        <w:numPr>
          <w:ilvl w:val="0"/>
          <w:numId w:val="4"/>
        </w:numPr>
      </w:pPr>
      <w:r w:rsidRPr="00526E28">
        <w:t>Senaste dag för kontraktstilldelning</w:t>
      </w:r>
    </w:p>
    <w:p w14:paraId="26A65F2D" w14:textId="77777777" w:rsidR="007B5995" w:rsidRPr="00526E28" w:rsidRDefault="00C50CC3" w:rsidP="00526E28">
      <w:r w:rsidRPr="00526E28">
        <w:t xml:space="preserve">Kontrakt med stöd av detta ramavtal tilldelas senast sista dag för ramavtalets giltighetstid. </w:t>
      </w:r>
    </w:p>
    <w:p w14:paraId="579DF892" w14:textId="2D08B705" w:rsidR="00C50CC3" w:rsidRDefault="00AA195F" w:rsidP="00526E28">
      <w:pPr>
        <w:pStyle w:val="Rubrik1"/>
        <w:numPr>
          <w:ilvl w:val="0"/>
          <w:numId w:val="4"/>
        </w:numPr>
      </w:pPr>
      <w:r>
        <w:t>Tjänsternas innehåll och paket</w:t>
      </w:r>
      <w:r w:rsidR="00B3325C">
        <w:t>eringar</w:t>
      </w:r>
    </w:p>
    <w:tbl>
      <w:tblPr>
        <w:tblStyle w:val="Tabellrutnt"/>
        <w:tblW w:w="0" w:type="auto"/>
        <w:tblLook w:val="04A0" w:firstRow="1" w:lastRow="0" w:firstColumn="1" w:lastColumn="0" w:noHBand="0" w:noVBand="1"/>
      </w:tblPr>
      <w:tblGrid>
        <w:gridCol w:w="4531"/>
        <w:gridCol w:w="4531"/>
      </w:tblGrid>
      <w:tr w:rsidR="002A3E34" w14:paraId="2714764A" w14:textId="77777777" w:rsidTr="00912C05">
        <w:tc>
          <w:tcPr>
            <w:tcW w:w="4531" w:type="dxa"/>
          </w:tcPr>
          <w:p w14:paraId="04F3BA29" w14:textId="77777777" w:rsidR="002A3E34" w:rsidRDefault="002A3E34" w:rsidP="00912C05">
            <w:r w:rsidRPr="009F3FF8">
              <w:t xml:space="preserve">I </w:t>
            </w:r>
            <w:r w:rsidRPr="009F3FF8">
              <w:rPr>
                <w:b/>
                <w:bCs/>
              </w:rPr>
              <w:t>bastjänsten</w:t>
            </w:r>
            <w:r w:rsidRPr="009F3FF8">
              <w:t xml:space="preserve"> har upphandlande myndigheter ett intresse av att ha tillgång till ett så stort material som möjligt, som tidsmässigt sträcker sig så långt tillbaka i tiden som möjligt. Bastjänsten ska innehålla minst </w:t>
            </w:r>
            <w:r>
              <w:t>det som finns listat i tabellen inom minst följande rättsområden:</w:t>
            </w:r>
          </w:p>
          <w:p w14:paraId="15396A86" w14:textId="77777777" w:rsidR="002A3E34" w:rsidRDefault="002A3E34" w:rsidP="00912C05">
            <w:r w:rsidRPr="009F3FF8">
              <w:t xml:space="preserve"> </w:t>
            </w:r>
          </w:p>
          <w:p w14:paraId="56B84FED" w14:textId="77777777" w:rsidR="002A3E34" w:rsidRDefault="002A3E34" w:rsidP="00912C05">
            <w:r w:rsidRPr="009F3FF8">
              <w:t xml:space="preserve">• Offentlig rätt </w:t>
            </w:r>
          </w:p>
          <w:p w14:paraId="77DF083E" w14:textId="77777777" w:rsidR="002A3E34" w:rsidRDefault="002A3E34" w:rsidP="00912C05">
            <w:r w:rsidRPr="009F3FF8">
              <w:t>• Fastighetsrätt</w:t>
            </w:r>
          </w:p>
          <w:p w14:paraId="424C27DD" w14:textId="77777777" w:rsidR="002A3E34" w:rsidRDefault="002A3E34" w:rsidP="00912C05">
            <w:r w:rsidRPr="009F3FF8">
              <w:t>•</w:t>
            </w:r>
            <w:r>
              <w:t xml:space="preserve"> </w:t>
            </w:r>
            <w:r w:rsidRPr="008A243B">
              <w:t xml:space="preserve">Miljörätt </w:t>
            </w:r>
          </w:p>
          <w:p w14:paraId="7EA20E24" w14:textId="77777777" w:rsidR="002A3E34" w:rsidRDefault="002A3E34" w:rsidP="00912C05">
            <w:r w:rsidRPr="008A243B">
              <w:t xml:space="preserve">• IT-rätt </w:t>
            </w:r>
          </w:p>
          <w:p w14:paraId="2A057882" w14:textId="77777777" w:rsidR="002A3E34" w:rsidRDefault="002A3E34" w:rsidP="00912C05">
            <w:r w:rsidRPr="008A243B">
              <w:t xml:space="preserve">• Arbetsrätt </w:t>
            </w:r>
          </w:p>
          <w:p w14:paraId="2EECEFC4" w14:textId="77777777" w:rsidR="002A3E34" w:rsidRDefault="002A3E34" w:rsidP="00912C05">
            <w:r w:rsidRPr="008A243B">
              <w:t>• EU-rätt</w:t>
            </w:r>
          </w:p>
          <w:p w14:paraId="52B6F231" w14:textId="77777777" w:rsidR="002A3E34" w:rsidRDefault="002A3E34" w:rsidP="00912C05"/>
          <w:p w14:paraId="4F762049" w14:textId="77777777" w:rsidR="002A3E34" w:rsidRDefault="002A3E34" w:rsidP="00912C05"/>
        </w:tc>
        <w:tc>
          <w:tcPr>
            <w:tcW w:w="4531" w:type="dxa"/>
          </w:tcPr>
          <w:p w14:paraId="01C16C3C" w14:textId="77777777" w:rsidR="002A3E34" w:rsidRDefault="002A3E34" w:rsidP="00912C05">
            <w:r w:rsidRPr="009F3FF8">
              <w:t xml:space="preserve">• Svenska lagar, förordningar och föreskrifter. </w:t>
            </w:r>
          </w:p>
          <w:p w14:paraId="7461F9DC" w14:textId="77777777" w:rsidR="002A3E34" w:rsidRDefault="002A3E34" w:rsidP="00912C05">
            <w:r w:rsidRPr="009F3FF8">
              <w:t xml:space="preserve">• Lagkommentarer. </w:t>
            </w:r>
          </w:p>
          <w:p w14:paraId="6DBB5260" w14:textId="77777777" w:rsidR="002A3E34" w:rsidRDefault="002A3E34" w:rsidP="00912C05">
            <w:r w:rsidRPr="009F3FF8">
              <w:t xml:space="preserve">• Analyser och referat. </w:t>
            </w:r>
          </w:p>
          <w:p w14:paraId="46541B8B" w14:textId="77777777" w:rsidR="002A3E34" w:rsidRDefault="002A3E34" w:rsidP="00912C05">
            <w:r w:rsidRPr="009F3FF8">
              <w:t xml:space="preserve">• Rättspraxis inklusive myndighetsbeslut. EU-rättsliga bestämmelser av författningskaraktär (såsom fördrag, förordningar och direktiv), antingen direkt tillgängliga i tjänsten eller tillgängliga via länkar. </w:t>
            </w:r>
          </w:p>
          <w:p w14:paraId="23B18847" w14:textId="77777777" w:rsidR="002A3E34" w:rsidRDefault="002A3E34" w:rsidP="00912C05">
            <w:r w:rsidRPr="009F3FF8">
              <w:t xml:space="preserve">• Förarbeten till svenska lagar. </w:t>
            </w:r>
          </w:p>
          <w:p w14:paraId="6CC5CB08" w14:textId="77777777" w:rsidR="002A3E34" w:rsidRDefault="002A3E34" w:rsidP="00912C05">
            <w:r w:rsidRPr="009F3FF8">
              <w:t>• Avgöranden från allmänna domstolar (samtliga instanser), förvaltningsdomstolar (samtliga instanser), specialdomstolar samt EU-domstolen.</w:t>
            </w:r>
          </w:p>
          <w:p w14:paraId="7B0AD76E" w14:textId="77777777" w:rsidR="002A3E34" w:rsidRDefault="002A3E34" w:rsidP="00912C05">
            <w:r w:rsidRPr="009F3FF8">
              <w:t xml:space="preserve">• Nyhetsbevakning inom svensk rätt och EU-rätt med sammanfattningar av avgöranden. </w:t>
            </w:r>
          </w:p>
          <w:p w14:paraId="69F79BF5" w14:textId="77777777" w:rsidR="002A3E34" w:rsidRDefault="002A3E34" w:rsidP="00912C05">
            <w:r w:rsidRPr="009F3FF8">
              <w:t xml:space="preserve">• Rådgivning inom rättsområden och sakområden. </w:t>
            </w:r>
          </w:p>
          <w:p w14:paraId="5B26EFBA" w14:textId="77777777" w:rsidR="002A3E34" w:rsidRDefault="002A3E34" w:rsidP="00912C05"/>
          <w:p w14:paraId="7FC797B8" w14:textId="77777777" w:rsidR="002A3E34" w:rsidRDefault="002A3E34" w:rsidP="00912C05"/>
        </w:tc>
      </w:tr>
      <w:tr w:rsidR="002A3E34" w14:paraId="7A760D0B" w14:textId="77777777" w:rsidTr="00912C05">
        <w:tc>
          <w:tcPr>
            <w:tcW w:w="4531" w:type="dxa"/>
          </w:tcPr>
          <w:p w14:paraId="570AC5E1" w14:textId="77777777" w:rsidR="002A3E34" w:rsidRDefault="002A3E34" w:rsidP="00912C05">
            <w:r w:rsidRPr="00BE589F">
              <w:rPr>
                <w:b/>
                <w:bCs/>
              </w:rPr>
              <w:t>Tilläggstjänster</w:t>
            </w:r>
            <w:r>
              <w:t xml:space="preserve"> - </w:t>
            </w:r>
            <w:r w:rsidRPr="00664BBB">
              <w:t xml:space="preserve">Upphandlande myndigheters behov av rättsområden skiljer sig åt inom olika förvaltningar och behovet finns därav att kunna avropa ytterligare rättsområden utöver de som ingår i bastjänsten. Nedan listas exempel på vilka dessa behov kan komma att vara. Listan är </w:t>
            </w:r>
            <w:r w:rsidRPr="00664BBB">
              <w:lastRenderedPageBreak/>
              <w:t>inte uttömmande och ytterligare behov kan uppstå under avtalsperioden. Exempel på behov av ytterligare rättsområden</w:t>
            </w:r>
            <w:r>
              <w:t xml:space="preserve"> finns listat i tabellen.</w:t>
            </w:r>
          </w:p>
        </w:tc>
        <w:tc>
          <w:tcPr>
            <w:tcW w:w="4531" w:type="dxa"/>
          </w:tcPr>
          <w:p w14:paraId="53563023" w14:textId="77777777" w:rsidR="002A3E34" w:rsidRDefault="002A3E34" w:rsidP="00912C05">
            <w:r w:rsidRPr="00B93EA0">
              <w:lastRenderedPageBreak/>
              <w:t xml:space="preserve">• Arbetsmiljörätt – Arbetsmiljölagen </w:t>
            </w:r>
          </w:p>
          <w:p w14:paraId="2C81A208" w14:textId="77777777" w:rsidR="002A3E34" w:rsidRDefault="002A3E34" w:rsidP="00912C05">
            <w:r w:rsidRPr="00B93EA0">
              <w:t xml:space="preserve">• Konkurrensrätt </w:t>
            </w:r>
          </w:p>
          <w:p w14:paraId="0431D54A" w14:textId="77777777" w:rsidR="002A3E34" w:rsidRDefault="002A3E34" w:rsidP="00912C05">
            <w:r w:rsidRPr="00B93EA0">
              <w:t xml:space="preserve">• Avtalsrätt och skadeståndsrätt inklusive </w:t>
            </w:r>
            <w:proofErr w:type="spellStart"/>
            <w:r w:rsidRPr="00B93EA0">
              <w:t>köprätt</w:t>
            </w:r>
            <w:proofErr w:type="spellEnd"/>
            <w:r w:rsidRPr="00B93EA0">
              <w:t xml:space="preserve">, konkurrenslagstiftning etc. </w:t>
            </w:r>
          </w:p>
          <w:p w14:paraId="06D03D32" w14:textId="77777777" w:rsidR="002A3E34" w:rsidRDefault="002A3E34" w:rsidP="00912C05">
            <w:r w:rsidRPr="00B93EA0">
              <w:t xml:space="preserve">• Regler om statsstöd </w:t>
            </w:r>
          </w:p>
          <w:p w14:paraId="7DC85B50" w14:textId="77777777" w:rsidR="002A3E34" w:rsidRDefault="002A3E34" w:rsidP="00912C05">
            <w:r w:rsidRPr="00B93EA0">
              <w:lastRenderedPageBreak/>
              <w:t>•</w:t>
            </w:r>
            <w:r>
              <w:t xml:space="preserve"> </w:t>
            </w:r>
            <w:r w:rsidRPr="00B93EA0">
              <w:t xml:space="preserve">Socialrätt –Socialtjänstlag, Lag med särskilda bestämmelser om vård av unga, Lag om vård av missbrukare i vissa fall  </w:t>
            </w:r>
          </w:p>
          <w:p w14:paraId="0A63F617" w14:textId="77777777" w:rsidR="002A3E34" w:rsidRDefault="002A3E34" w:rsidP="00912C05">
            <w:r w:rsidRPr="00B93EA0">
              <w:t xml:space="preserve">• Familjerätt – Föräldrabalken, Ärvdabalken, Äktenskapsbalken </w:t>
            </w:r>
          </w:p>
          <w:p w14:paraId="37E484BB" w14:textId="77777777" w:rsidR="002A3E34" w:rsidRDefault="002A3E34" w:rsidP="00912C05">
            <w:r w:rsidRPr="00B93EA0">
              <w:t xml:space="preserve">• Migrationsrätt – Utlänningslagen </w:t>
            </w:r>
          </w:p>
          <w:p w14:paraId="54C4D27F" w14:textId="77777777" w:rsidR="002A3E34" w:rsidRDefault="002A3E34" w:rsidP="00912C05">
            <w:r w:rsidRPr="00B93EA0">
              <w:t xml:space="preserve">• Upphandlingsrätt </w:t>
            </w:r>
          </w:p>
          <w:p w14:paraId="1DCC46CD" w14:textId="77777777" w:rsidR="002A3E34" w:rsidRDefault="002A3E34" w:rsidP="00912C05">
            <w:r w:rsidRPr="00B93EA0">
              <w:t xml:space="preserve">• Skola och utbildning – Skollagen, Skolförordningen, Gymnasieförordningen </w:t>
            </w:r>
          </w:p>
          <w:p w14:paraId="40C4F932" w14:textId="77777777" w:rsidR="002A3E34" w:rsidRDefault="002A3E34" w:rsidP="00912C05">
            <w:r w:rsidRPr="00B93EA0">
              <w:t xml:space="preserve">• Skatt – Inkomstskattelagen, Mervärdesskattelagen </w:t>
            </w:r>
          </w:p>
          <w:p w14:paraId="5F98BB05" w14:textId="77777777" w:rsidR="002A3E34" w:rsidRDefault="002A3E34" w:rsidP="00912C05">
            <w:r w:rsidRPr="00B93EA0">
              <w:t xml:space="preserve">• Livsmedel – Livsmedelslagen </w:t>
            </w:r>
          </w:p>
          <w:p w14:paraId="014B9014" w14:textId="77777777" w:rsidR="002A3E34" w:rsidRDefault="002A3E34" w:rsidP="00912C05">
            <w:r w:rsidRPr="00B93EA0">
              <w:t xml:space="preserve">• Hälsa – Hälso- och sjukvårdslagen, tillsynsärenden enligt miljöbalken </w:t>
            </w:r>
          </w:p>
          <w:p w14:paraId="4AE2F9E6" w14:textId="77777777" w:rsidR="002A3E34" w:rsidRDefault="002A3E34" w:rsidP="00912C05">
            <w:r w:rsidRPr="00B93EA0">
              <w:t xml:space="preserve">• Sjukvård – </w:t>
            </w:r>
            <w:proofErr w:type="spellStart"/>
            <w:r w:rsidRPr="00B93EA0">
              <w:t>Patientlagen</w:t>
            </w:r>
            <w:proofErr w:type="spellEnd"/>
            <w:r w:rsidRPr="00B93EA0">
              <w:t xml:space="preserve">, Patientsäkerhetslagen </w:t>
            </w:r>
          </w:p>
          <w:p w14:paraId="0099D3F6" w14:textId="77777777" w:rsidR="002A3E34" w:rsidRDefault="002A3E34" w:rsidP="00912C05">
            <w:r w:rsidRPr="00B93EA0">
              <w:t xml:space="preserve">• Immaterialrätt </w:t>
            </w:r>
          </w:p>
          <w:p w14:paraId="2865366C" w14:textId="77777777" w:rsidR="002A3E34" w:rsidRDefault="002A3E34" w:rsidP="00912C05">
            <w:r w:rsidRPr="00B93EA0">
              <w:t xml:space="preserve">• Skadeståndsrätt – Skadeståndslagen </w:t>
            </w:r>
          </w:p>
          <w:p w14:paraId="4DE58D99" w14:textId="77777777" w:rsidR="002A3E34" w:rsidRDefault="002A3E34" w:rsidP="00912C05">
            <w:r w:rsidRPr="00B93EA0">
              <w:t>• Processrätt</w:t>
            </w:r>
          </w:p>
        </w:tc>
      </w:tr>
    </w:tbl>
    <w:p w14:paraId="6255CDDB" w14:textId="77777777" w:rsidR="008B5749" w:rsidRDefault="008B5749" w:rsidP="008B5749"/>
    <w:p w14:paraId="0EA1EBBF" w14:textId="77777777" w:rsidR="001D7B47" w:rsidRPr="001D7B47" w:rsidRDefault="001D7B47" w:rsidP="001D7B47">
      <w:pPr>
        <w:rPr>
          <w:i/>
          <w:iCs/>
        </w:rPr>
      </w:pPr>
      <w:r w:rsidRPr="001D7B47">
        <w:rPr>
          <w:i/>
          <w:iCs/>
        </w:rPr>
        <w:t>Det är inget krav att sakområdena ska rubriceras enligt ovan eller paketeras som enskilda sakområden, exempelvis kan arbetsmiljö ingå i arbetsrätt osv.</w:t>
      </w:r>
    </w:p>
    <w:p w14:paraId="1B2BC011" w14:textId="77777777" w:rsidR="001D7B47" w:rsidRDefault="001D7B47" w:rsidP="00EA3A90">
      <w:pPr>
        <w:rPr>
          <w:b/>
          <w:bCs/>
        </w:rPr>
      </w:pPr>
    </w:p>
    <w:p w14:paraId="52E3FBA0" w14:textId="3912A409" w:rsidR="00EA3A90" w:rsidRPr="000E0A23" w:rsidRDefault="00EA3A90" w:rsidP="00EA3A90">
      <w:pPr>
        <w:rPr>
          <w:b/>
          <w:bCs/>
        </w:rPr>
      </w:pPr>
      <w:r w:rsidRPr="000E0A23">
        <w:rPr>
          <w:b/>
          <w:bCs/>
        </w:rPr>
        <w:t>Paketeringar bastjänst</w:t>
      </w:r>
    </w:p>
    <w:tbl>
      <w:tblPr>
        <w:tblStyle w:val="Tabellrutnt"/>
        <w:tblW w:w="0" w:type="auto"/>
        <w:tblLook w:val="04A0" w:firstRow="1" w:lastRow="0" w:firstColumn="1" w:lastColumn="0" w:noHBand="0" w:noVBand="1"/>
      </w:tblPr>
      <w:tblGrid>
        <w:gridCol w:w="4531"/>
        <w:gridCol w:w="4531"/>
      </w:tblGrid>
      <w:tr w:rsidR="00EA3A90" w14:paraId="4C71D8E3" w14:textId="77777777" w:rsidTr="00912C05">
        <w:tc>
          <w:tcPr>
            <w:tcW w:w="4531" w:type="dxa"/>
          </w:tcPr>
          <w:p w14:paraId="0F390657" w14:textId="77777777" w:rsidR="00EA3A90" w:rsidRDefault="00EA3A90" w:rsidP="00912C05">
            <w:r>
              <w:t>Personligt abonnemang – pris per person</w:t>
            </w:r>
          </w:p>
        </w:tc>
        <w:tc>
          <w:tcPr>
            <w:tcW w:w="4531" w:type="dxa"/>
          </w:tcPr>
          <w:p w14:paraId="19B4E996" w14:textId="77777777" w:rsidR="00EA3A90" w:rsidRDefault="00EA3A90" w:rsidP="00912C05">
            <w:r>
              <w:t>1 person</w:t>
            </w:r>
          </w:p>
        </w:tc>
      </w:tr>
      <w:tr w:rsidR="00EA3A90" w14:paraId="482CDA76" w14:textId="77777777" w:rsidTr="00912C05">
        <w:tc>
          <w:tcPr>
            <w:tcW w:w="4531" w:type="dxa"/>
          </w:tcPr>
          <w:p w14:paraId="469A5B8C" w14:textId="77777777" w:rsidR="00EA3A90" w:rsidRDefault="00EA3A90" w:rsidP="00912C05">
            <w:r w:rsidRPr="00D91A64">
              <w:t>Förvaltning/bolag/kommunlicens liten</w:t>
            </w:r>
          </w:p>
        </w:tc>
        <w:tc>
          <w:tcPr>
            <w:tcW w:w="4531" w:type="dxa"/>
          </w:tcPr>
          <w:p w14:paraId="2AB6F6F5" w14:textId="77777777" w:rsidR="00EA3A90" w:rsidRDefault="00EA3A90" w:rsidP="00912C05">
            <w:r>
              <w:t>1-50 personer</w:t>
            </w:r>
          </w:p>
        </w:tc>
      </w:tr>
      <w:tr w:rsidR="00EA3A90" w14:paraId="54996EBE" w14:textId="77777777" w:rsidTr="00912C05">
        <w:tc>
          <w:tcPr>
            <w:tcW w:w="4531" w:type="dxa"/>
          </w:tcPr>
          <w:p w14:paraId="7BC5C950" w14:textId="77777777" w:rsidR="00EA3A90" w:rsidRDefault="00EA3A90" w:rsidP="00912C05">
            <w:r w:rsidRPr="00D91A64">
              <w:t xml:space="preserve">Förvaltning/bolag/kommunlicens </w:t>
            </w:r>
            <w:r>
              <w:t>mellan</w:t>
            </w:r>
          </w:p>
        </w:tc>
        <w:tc>
          <w:tcPr>
            <w:tcW w:w="4531" w:type="dxa"/>
          </w:tcPr>
          <w:p w14:paraId="6DC90A34" w14:textId="77777777" w:rsidR="00EA3A90" w:rsidRDefault="00EA3A90" w:rsidP="00912C05">
            <w:r>
              <w:t>51-250 personer</w:t>
            </w:r>
          </w:p>
        </w:tc>
      </w:tr>
      <w:tr w:rsidR="00EA3A90" w14:paraId="1C046B6C" w14:textId="77777777" w:rsidTr="00912C05">
        <w:tc>
          <w:tcPr>
            <w:tcW w:w="4531" w:type="dxa"/>
          </w:tcPr>
          <w:p w14:paraId="1D3A409F" w14:textId="77777777" w:rsidR="00EA3A90" w:rsidRDefault="00EA3A90" w:rsidP="00912C05">
            <w:r w:rsidRPr="00D91A64">
              <w:t xml:space="preserve">Förvaltning/bolag/kommunlicens </w:t>
            </w:r>
            <w:r>
              <w:t>stor</w:t>
            </w:r>
          </w:p>
        </w:tc>
        <w:tc>
          <w:tcPr>
            <w:tcW w:w="4531" w:type="dxa"/>
          </w:tcPr>
          <w:p w14:paraId="5ECDE62E" w14:textId="77777777" w:rsidR="00EA3A90" w:rsidRDefault="00EA3A90" w:rsidP="00912C05">
            <w:r>
              <w:t>251 eller fler personer</w:t>
            </w:r>
          </w:p>
        </w:tc>
      </w:tr>
    </w:tbl>
    <w:p w14:paraId="35C603C0" w14:textId="77777777" w:rsidR="002A3E34" w:rsidRDefault="002A3E34" w:rsidP="008B5749"/>
    <w:p w14:paraId="6B738A8E" w14:textId="77777777" w:rsidR="001A21C4" w:rsidRPr="000E0A23" w:rsidRDefault="001A21C4" w:rsidP="001A21C4">
      <w:pPr>
        <w:rPr>
          <w:b/>
          <w:bCs/>
        </w:rPr>
      </w:pPr>
      <w:r w:rsidRPr="000E0A23">
        <w:rPr>
          <w:b/>
          <w:bCs/>
        </w:rPr>
        <w:t>Paketeringar tilläggstjänst</w:t>
      </w:r>
    </w:p>
    <w:tbl>
      <w:tblPr>
        <w:tblStyle w:val="Tabellrutnt"/>
        <w:tblW w:w="0" w:type="auto"/>
        <w:tblLook w:val="04A0" w:firstRow="1" w:lastRow="0" w:firstColumn="1" w:lastColumn="0" w:noHBand="0" w:noVBand="1"/>
      </w:tblPr>
      <w:tblGrid>
        <w:gridCol w:w="4531"/>
        <w:gridCol w:w="4531"/>
      </w:tblGrid>
      <w:tr w:rsidR="001A21C4" w14:paraId="50BB4A97" w14:textId="77777777" w:rsidTr="00912C05">
        <w:tc>
          <w:tcPr>
            <w:tcW w:w="4531" w:type="dxa"/>
          </w:tcPr>
          <w:p w14:paraId="4A976165" w14:textId="77777777" w:rsidR="001A21C4" w:rsidRDefault="001A21C4" w:rsidP="00912C05">
            <w:r>
              <w:t>Personligt abonnemang – pris per person</w:t>
            </w:r>
          </w:p>
        </w:tc>
        <w:tc>
          <w:tcPr>
            <w:tcW w:w="4531" w:type="dxa"/>
          </w:tcPr>
          <w:p w14:paraId="2C804A9E" w14:textId="77777777" w:rsidR="001A21C4" w:rsidRDefault="001A21C4" w:rsidP="00912C05">
            <w:r>
              <w:t>1 person</w:t>
            </w:r>
          </w:p>
        </w:tc>
      </w:tr>
      <w:tr w:rsidR="001A21C4" w14:paraId="2868CEDD" w14:textId="77777777" w:rsidTr="00912C05">
        <w:tc>
          <w:tcPr>
            <w:tcW w:w="4531" w:type="dxa"/>
          </w:tcPr>
          <w:p w14:paraId="3C296FBA" w14:textId="77777777" w:rsidR="001A21C4" w:rsidRDefault="001A21C4" w:rsidP="00912C05">
            <w:r>
              <w:t>Personligt abonnemang – pris per person</w:t>
            </w:r>
          </w:p>
        </w:tc>
        <w:tc>
          <w:tcPr>
            <w:tcW w:w="4531" w:type="dxa"/>
          </w:tcPr>
          <w:p w14:paraId="1CB0097D" w14:textId="77777777" w:rsidR="001A21C4" w:rsidRDefault="001A21C4" w:rsidP="00912C05">
            <w:r>
              <w:t>2-10 personer</w:t>
            </w:r>
          </w:p>
        </w:tc>
      </w:tr>
      <w:tr w:rsidR="001A21C4" w14:paraId="782BE007" w14:textId="77777777" w:rsidTr="00912C05">
        <w:tc>
          <w:tcPr>
            <w:tcW w:w="4531" w:type="dxa"/>
          </w:tcPr>
          <w:p w14:paraId="57D4AE94" w14:textId="77777777" w:rsidR="001A21C4" w:rsidRDefault="001A21C4" w:rsidP="00912C05">
            <w:r>
              <w:t>Personligt abonnemang – pris per person</w:t>
            </w:r>
          </w:p>
        </w:tc>
        <w:tc>
          <w:tcPr>
            <w:tcW w:w="4531" w:type="dxa"/>
          </w:tcPr>
          <w:p w14:paraId="153A49BF" w14:textId="77777777" w:rsidR="001A21C4" w:rsidRDefault="001A21C4" w:rsidP="00912C05">
            <w:r>
              <w:t>11-50 personer</w:t>
            </w:r>
          </w:p>
        </w:tc>
      </w:tr>
      <w:tr w:rsidR="001A21C4" w14:paraId="1E5520E4" w14:textId="77777777" w:rsidTr="00912C05">
        <w:tc>
          <w:tcPr>
            <w:tcW w:w="4531" w:type="dxa"/>
          </w:tcPr>
          <w:p w14:paraId="463E5CDC" w14:textId="77777777" w:rsidR="001A21C4" w:rsidRDefault="001A21C4" w:rsidP="00912C05">
            <w:r>
              <w:t>Personligt abonnemang – pris per person</w:t>
            </w:r>
          </w:p>
        </w:tc>
        <w:tc>
          <w:tcPr>
            <w:tcW w:w="4531" w:type="dxa"/>
          </w:tcPr>
          <w:p w14:paraId="617D488D" w14:textId="77777777" w:rsidR="001A21C4" w:rsidRDefault="001A21C4" w:rsidP="00912C05">
            <w:r>
              <w:t>51-100 personer</w:t>
            </w:r>
          </w:p>
        </w:tc>
      </w:tr>
      <w:tr w:rsidR="001A21C4" w14:paraId="37C65509" w14:textId="77777777" w:rsidTr="00912C05">
        <w:tc>
          <w:tcPr>
            <w:tcW w:w="4531" w:type="dxa"/>
          </w:tcPr>
          <w:p w14:paraId="42DB923C" w14:textId="77777777" w:rsidR="001A21C4" w:rsidRDefault="001A21C4" w:rsidP="00912C05">
            <w:r>
              <w:t>Personligt abonnemang – pris per person</w:t>
            </w:r>
          </w:p>
        </w:tc>
        <w:tc>
          <w:tcPr>
            <w:tcW w:w="4531" w:type="dxa"/>
          </w:tcPr>
          <w:p w14:paraId="7C85E59B" w14:textId="77777777" w:rsidR="001A21C4" w:rsidRDefault="001A21C4" w:rsidP="00912C05">
            <w:r>
              <w:t>101-150 personer</w:t>
            </w:r>
          </w:p>
        </w:tc>
      </w:tr>
      <w:tr w:rsidR="001A21C4" w14:paraId="42DD1A38" w14:textId="77777777" w:rsidTr="00912C05">
        <w:tc>
          <w:tcPr>
            <w:tcW w:w="4531" w:type="dxa"/>
          </w:tcPr>
          <w:p w14:paraId="4EB8F922" w14:textId="77777777" w:rsidR="001A21C4" w:rsidRDefault="001A21C4" w:rsidP="00912C05">
            <w:r>
              <w:t>Personligt abonnemang – pris per person</w:t>
            </w:r>
          </w:p>
        </w:tc>
        <w:tc>
          <w:tcPr>
            <w:tcW w:w="4531" w:type="dxa"/>
          </w:tcPr>
          <w:p w14:paraId="293A7667" w14:textId="77777777" w:rsidR="001A21C4" w:rsidRDefault="001A21C4" w:rsidP="00912C05">
            <w:r>
              <w:t>151-200 personer</w:t>
            </w:r>
          </w:p>
        </w:tc>
      </w:tr>
      <w:tr w:rsidR="001A21C4" w14:paraId="20B20C9C" w14:textId="77777777" w:rsidTr="00912C05">
        <w:tc>
          <w:tcPr>
            <w:tcW w:w="4531" w:type="dxa"/>
          </w:tcPr>
          <w:p w14:paraId="3743B727" w14:textId="77777777" w:rsidR="001A21C4" w:rsidRDefault="001A21C4" w:rsidP="00912C05">
            <w:r>
              <w:t>Personligt abonnemang – pris per person</w:t>
            </w:r>
          </w:p>
        </w:tc>
        <w:tc>
          <w:tcPr>
            <w:tcW w:w="4531" w:type="dxa"/>
          </w:tcPr>
          <w:p w14:paraId="3BD620B8" w14:textId="77777777" w:rsidR="001A21C4" w:rsidRDefault="001A21C4" w:rsidP="00912C05">
            <w:r>
              <w:t xml:space="preserve">&gt;200 personer </w:t>
            </w:r>
          </w:p>
        </w:tc>
      </w:tr>
    </w:tbl>
    <w:p w14:paraId="2081CF37" w14:textId="61DD16CD" w:rsidR="00D90E81" w:rsidRDefault="00D90E81" w:rsidP="00526E28"/>
    <w:p w14:paraId="34AFDBB4" w14:textId="77777777" w:rsidR="001E2CB0" w:rsidRDefault="001E2CB0" w:rsidP="00526E28"/>
    <w:p w14:paraId="79E08042" w14:textId="4614046C" w:rsidR="001E2CB0" w:rsidRDefault="001E2CB0" w:rsidP="001E2CB0">
      <w:pPr>
        <w:pStyle w:val="Rubrik1"/>
        <w:numPr>
          <w:ilvl w:val="0"/>
          <w:numId w:val="4"/>
        </w:numPr>
      </w:pPr>
      <w:r>
        <w:t>Exempel på förnyade konkurrensutsättningar</w:t>
      </w:r>
    </w:p>
    <w:p w14:paraId="308DC467" w14:textId="77777777" w:rsidR="00D95E5F" w:rsidRDefault="00D95E5F" w:rsidP="00D95E5F">
      <w:pPr>
        <w:pStyle w:val="Rubrik2"/>
      </w:pPr>
      <w:r w:rsidRPr="00D32477">
        <w:t>Förnyad konkurrensutsättning</w:t>
      </w:r>
      <w:r>
        <w:t xml:space="preserve"> </w:t>
      </w:r>
      <w:r w:rsidRPr="003B0966">
        <w:rPr>
          <w:color w:val="FF0000"/>
        </w:rPr>
        <w:t>(Alternativ 1 pris och kvalitet)</w:t>
      </w:r>
    </w:p>
    <w:p w14:paraId="49B4796F" w14:textId="77777777" w:rsidR="00D95E5F" w:rsidRDefault="00D95E5F" w:rsidP="00D95E5F">
      <w:r>
        <w:t>Kontrakt tilldelas den ramavtalsleverantör som lämnat det ekonomiskt mest fördelaktiga anbudet utifrån pris och kvalitet med en viktning enligt nedan.</w:t>
      </w:r>
    </w:p>
    <w:p w14:paraId="2BA3853F" w14:textId="77777777" w:rsidR="00D95E5F" w:rsidRPr="00474F18" w:rsidRDefault="00D95E5F" w:rsidP="00D95E5F">
      <w:r>
        <w:lastRenderedPageBreak/>
        <w:t>Leverantörerna ska presentera sina system vid en visning samt ge upphandlande myndighet möjlighet att testa tjänsten under 14 dagar för utvärdering.</w:t>
      </w:r>
    </w:p>
    <w:tbl>
      <w:tblPr>
        <w:tblStyle w:val="Tabellrutnt"/>
        <w:tblW w:w="0" w:type="auto"/>
        <w:tblLook w:val="04A0" w:firstRow="1" w:lastRow="0" w:firstColumn="1" w:lastColumn="0" w:noHBand="0" w:noVBand="1"/>
      </w:tblPr>
      <w:tblGrid>
        <w:gridCol w:w="4531"/>
        <w:gridCol w:w="4531"/>
      </w:tblGrid>
      <w:tr w:rsidR="00D95E5F" w14:paraId="124937C4" w14:textId="77777777" w:rsidTr="00912C05">
        <w:tc>
          <w:tcPr>
            <w:tcW w:w="4531" w:type="dxa"/>
          </w:tcPr>
          <w:p w14:paraId="3B3B8745" w14:textId="77777777" w:rsidR="00D95E5F" w:rsidRDefault="00D95E5F" w:rsidP="00912C05">
            <w:r>
              <w:t>Pris</w:t>
            </w:r>
          </w:p>
        </w:tc>
        <w:tc>
          <w:tcPr>
            <w:tcW w:w="4531" w:type="dxa"/>
          </w:tcPr>
          <w:p w14:paraId="75C1438C" w14:textId="77777777" w:rsidR="00D95E5F" w:rsidRDefault="00D95E5F" w:rsidP="00912C05">
            <w:r w:rsidRPr="00A338C5">
              <w:rPr>
                <w:color w:val="FF0000"/>
              </w:rPr>
              <w:t>xx</w:t>
            </w:r>
          </w:p>
        </w:tc>
      </w:tr>
      <w:tr w:rsidR="00D95E5F" w14:paraId="57465EBE" w14:textId="77777777" w:rsidTr="00912C05">
        <w:tc>
          <w:tcPr>
            <w:tcW w:w="4531" w:type="dxa"/>
          </w:tcPr>
          <w:p w14:paraId="1DED0EE1" w14:textId="77777777" w:rsidR="00D95E5F" w:rsidRDefault="00D95E5F" w:rsidP="00912C05">
            <w:r>
              <w:t>Kvalitet</w:t>
            </w:r>
          </w:p>
        </w:tc>
        <w:tc>
          <w:tcPr>
            <w:tcW w:w="4531" w:type="dxa"/>
          </w:tcPr>
          <w:p w14:paraId="2A609BD1" w14:textId="77777777" w:rsidR="00D95E5F" w:rsidRDefault="00D95E5F" w:rsidP="00912C05">
            <w:r w:rsidRPr="00A338C5">
              <w:rPr>
                <w:color w:val="FF0000"/>
              </w:rPr>
              <w:t>xx</w:t>
            </w:r>
          </w:p>
        </w:tc>
      </w:tr>
    </w:tbl>
    <w:p w14:paraId="41AD733E" w14:textId="77777777" w:rsidR="00D95E5F" w:rsidRDefault="00D95E5F" w:rsidP="00D95E5F"/>
    <w:p w14:paraId="362AF1A8" w14:textId="77777777" w:rsidR="00D95E5F" w:rsidRPr="00F844F3" w:rsidRDefault="00D95E5F" w:rsidP="00D95E5F">
      <w:pPr>
        <w:rPr>
          <w:color w:val="FF0000"/>
        </w:rPr>
      </w:pPr>
      <w:r>
        <w:t xml:space="preserve">Kvaliteten kommer bedömas enligt nedan: </w:t>
      </w:r>
      <w:r w:rsidRPr="00F844F3">
        <w:rPr>
          <w:color w:val="FF0000"/>
        </w:rPr>
        <w:t>Glöm inte motivera din bedömning så det blir tydligt för leverantören vad de bedömdes på.</w:t>
      </w:r>
    </w:p>
    <w:p w14:paraId="28859598" w14:textId="77777777" w:rsidR="00D95E5F" w:rsidRPr="008E7A66" w:rsidRDefault="00D95E5F" w:rsidP="00D95E5F">
      <w:pPr>
        <w:rPr>
          <w:b/>
          <w:bCs/>
        </w:rPr>
      </w:pPr>
      <w:proofErr w:type="spellStart"/>
      <w:r w:rsidRPr="008E7A66">
        <w:rPr>
          <w:b/>
          <w:bCs/>
        </w:rPr>
        <w:t>Betygskala</w:t>
      </w:r>
      <w:proofErr w:type="spellEnd"/>
    </w:p>
    <w:p w14:paraId="27C8C0B6" w14:textId="77777777" w:rsidR="00D95E5F" w:rsidRDefault="00D95E5F" w:rsidP="00D95E5F">
      <w:pPr>
        <w:pStyle w:val="Liststycke"/>
        <w:numPr>
          <w:ilvl w:val="0"/>
          <w:numId w:val="19"/>
        </w:numPr>
      </w:pPr>
      <w:r>
        <w:t>3 poäng = Mycket bra</w:t>
      </w:r>
    </w:p>
    <w:p w14:paraId="5B95CD73" w14:textId="77777777" w:rsidR="00D95E5F" w:rsidRDefault="00D95E5F" w:rsidP="00D95E5F">
      <w:pPr>
        <w:pStyle w:val="Liststycke"/>
        <w:numPr>
          <w:ilvl w:val="0"/>
          <w:numId w:val="19"/>
        </w:numPr>
      </w:pPr>
      <w:r>
        <w:t>2 poäng = Bra</w:t>
      </w:r>
    </w:p>
    <w:p w14:paraId="1CF78B9F" w14:textId="77777777" w:rsidR="00D95E5F" w:rsidRDefault="00D95E5F" w:rsidP="00D95E5F">
      <w:pPr>
        <w:pStyle w:val="Liststycke"/>
        <w:numPr>
          <w:ilvl w:val="0"/>
          <w:numId w:val="19"/>
        </w:numPr>
      </w:pPr>
      <w:r>
        <w:t>1 poäng = Mindre bra</w:t>
      </w:r>
    </w:p>
    <w:p w14:paraId="5FB41A3E" w14:textId="77777777" w:rsidR="00D95E5F" w:rsidRDefault="00D95E5F" w:rsidP="00D95E5F">
      <w:pPr>
        <w:pStyle w:val="Liststycke"/>
        <w:numPr>
          <w:ilvl w:val="0"/>
          <w:numId w:val="19"/>
        </w:numPr>
      </w:pPr>
      <w:r>
        <w:t xml:space="preserve">0 poäng = </w:t>
      </w:r>
      <w:proofErr w:type="spellStart"/>
      <w:r>
        <w:t>Otillfredställande</w:t>
      </w:r>
      <w:proofErr w:type="spellEnd"/>
    </w:p>
    <w:tbl>
      <w:tblPr>
        <w:tblStyle w:val="Tabellrutnt"/>
        <w:tblW w:w="0" w:type="auto"/>
        <w:tblLook w:val="04A0" w:firstRow="1" w:lastRow="0" w:firstColumn="1" w:lastColumn="0" w:noHBand="0" w:noVBand="1"/>
      </w:tblPr>
      <w:tblGrid>
        <w:gridCol w:w="4531"/>
        <w:gridCol w:w="4531"/>
      </w:tblGrid>
      <w:tr w:rsidR="00D95E5F" w:rsidRPr="00443F5D" w14:paraId="4A6FA8EE" w14:textId="77777777" w:rsidTr="00912C05">
        <w:tc>
          <w:tcPr>
            <w:tcW w:w="4531" w:type="dxa"/>
          </w:tcPr>
          <w:p w14:paraId="1B5FA14E" w14:textId="77777777" w:rsidR="00D95E5F" w:rsidRPr="00443F5D" w:rsidRDefault="00D95E5F" w:rsidP="00912C05">
            <w:pPr>
              <w:rPr>
                <w:b/>
                <w:bCs/>
              </w:rPr>
            </w:pPr>
            <w:r w:rsidRPr="00443F5D">
              <w:rPr>
                <w:b/>
                <w:bCs/>
              </w:rPr>
              <w:t>Bedömning</w:t>
            </w:r>
          </w:p>
        </w:tc>
        <w:tc>
          <w:tcPr>
            <w:tcW w:w="4531" w:type="dxa"/>
          </w:tcPr>
          <w:p w14:paraId="3EBBEC93" w14:textId="77777777" w:rsidR="00D95E5F" w:rsidRPr="00443F5D" w:rsidRDefault="00D95E5F" w:rsidP="00912C05">
            <w:pPr>
              <w:rPr>
                <w:b/>
                <w:bCs/>
              </w:rPr>
            </w:pPr>
            <w:r w:rsidRPr="00443F5D">
              <w:rPr>
                <w:b/>
                <w:bCs/>
              </w:rPr>
              <w:t>Betyg</w:t>
            </w:r>
          </w:p>
        </w:tc>
      </w:tr>
      <w:tr w:rsidR="00D95E5F" w14:paraId="6E7ADDE0" w14:textId="77777777" w:rsidTr="00912C05">
        <w:tc>
          <w:tcPr>
            <w:tcW w:w="4531" w:type="dxa"/>
          </w:tcPr>
          <w:p w14:paraId="38B09105" w14:textId="77777777" w:rsidR="00D95E5F" w:rsidRDefault="00D95E5F" w:rsidP="00912C05">
            <w:r w:rsidRPr="00443F5D">
              <w:rPr>
                <w:b/>
                <w:bCs/>
              </w:rPr>
              <w:t>Effektivitet</w:t>
            </w:r>
            <w:r w:rsidRPr="0063175B">
              <w:t xml:space="preserve"> - Hur väl användare kan uppnå sina mål med systemet.</w:t>
            </w:r>
          </w:p>
          <w:p w14:paraId="68B84F7F" w14:textId="77777777" w:rsidR="00D95E5F" w:rsidRDefault="00D95E5F" w:rsidP="00912C05"/>
        </w:tc>
        <w:tc>
          <w:tcPr>
            <w:tcW w:w="4531" w:type="dxa"/>
          </w:tcPr>
          <w:p w14:paraId="01CE9D72" w14:textId="77777777" w:rsidR="00D95E5F" w:rsidRDefault="00D95E5F" w:rsidP="00912C05"/>
        </w:tc>
      </w:tr>
      <w:tr w:rsidR="00D95E5F" w14:paraId="1CCD4713" w14:textId="77777777" w:rsidTr="00912C05">
        <w:tc>
          <w:tcPr>
            <w:tcW w:w="4531" w:type="dxa"/>
          </w:tcPr>
          <w:p w14:paraId="7A9ED4CF" w14:textId="77777777" w:rsidR="00D95E5F" w:rsidRDefault="00D95E5F" w:rsidP="00912C05">
            <w:r w:rsidRPr="00443F5D">
              <w:rPr>
                <w:b/>
                <w:bCs/>
              </w:rPr>
              <w:t>Ändamålsenlighet</w:t>
            </w:r>
            <w:r w:rsidRPr="0063175B">
              <w:t xml:space="preserve"> - Hur enkelt användarna kan använda systemet för att uppnå sina mål.</w:t>
            </w:r>
          </w:p>
          <w:p w14:paraId="3A56F279" w14:textId="77777777" w:rsidR="00D95E5F" w:rsidRDefault="00D95E5F" w:rsidP="00912C05"/>
        </w:tc>
        <w:tc>
          <w:tcPr>
            <w:tcW w:w="4531" w:type="dxa"/>
          </w:tcPr>
          <w:p w14:paraId="34A0EDBD" w14:textId="77777777" w:rsidR="00D95E5F" w:rsidRDefault="00D95E5F" w:rsidP="00912C05"/>
        </w:tc>
      </w:tr>
      <w:tr w:rsidR="00D95E5F" w14:paraId="361236F3" w14:textId="77777777" w:rsidTr="00912C05">
        <w:tc>
          <w:tcPr>
            <w:tcW w:w="4531" w:type="dxa"/>
          </w:tcPr>
          <w:p w14:paraId="0A2C6E76" w14:textId="77777777" w:rsidR="00D95E5F" w:rsidRDefault="00D95E5F" w:rsidP="00912C05">
            <w:r w:rsidRPr="00443F5D">
              <w:rPr>
                <w:b/>
                <w:bCs/>
              </w:rPr>
              <w:t>Tillfredsställelse</w:t>
            </w:r>
            <w:r w:rsidRPr="0063175B">
              <w:t xml:space="preserve"> - Hur nöjda användarna är med systemet.</w:t>
            </w:r>
          </w:p>
          <w:p w14:paraId="65964E13" w14:textId="77777777" w:rsidR="00D95E5F" w:rsidRDefault="00D95E5F" w:rsidP="00912C05"/>
        </w:tc>
        <w:tc>
          <w:tcPr>
            <w:tcW w:w="4531" w:type="dxa"/>
          </w:tcPr>
          <w:p w14:paraId="523E2B5C" w14:textId="77777777" w:rsidR="00D95E5F" w:rsidRDefault="00D95E5F" w:rsidP="00912C05"/>
        </w:tc>
      </w:tr>
    </w:tbl>
    <w:p w14:paraId="528D8D7E" w14:textId="77777777" w:rsidR="00AC1070" w:rsidRDefault="00AC1070" w:rsidP="00AC1070"/>
    <w:p w14:paraId="2362EB41" w14:textId="77777777" w:rsidR="003478F0" w:rsidRDefault="003478F0" w:rsidP="003478F0">
      <w:pPr>
        <w:pStyle w:val="Rubrik2"/>
      </w:pPr>
      <w:r w:rsidRPr="00D32477">
        <w:t>Förnyad konkurrensutsättning</w:t>
      </w:r>
      <w:r>
        <w:t xml:space="preserve"> </w:t>
      </w:r>
      <w:r w:rsidRPr="003B0966">
        <w:rPr>
          <w:color w:val="FF0000"/>
        </w:rPr>
        <w:t xml:space="preserve">(Alternativ </w:t>
      </w:r>
      <w:r>
        <w:rPr>
          <w:color w:val="FF0000"/>
        </w:rPr>
        <w:t>2</w:t>
      </w:r>
      <w:r w:rsidRPr="003B0966">
        <w:rPr>
          <w:color w:val="FF0000"/>
        </w:rPr>
        <w:t xml:space="preserve"> pris)</w:t>
      </w:r>
    </w:p>
    <w:p w14:paraId="24E7EC6A" w14:textId="77777777" w:rsidR="003478F0" w:rsidRDefault="003478F0" w:rsidP="003478F0">
      <w:r>
        <w:t>Kontrakt tilldelas den ramavtalsleverantör som lämnat det ekonomiskt mest fördelaktiga anbudet utifrån pris.</w:t>
      </w:r>
    </w:p>
    <w:p w14:paraId="4664FFF5" w14:textId="77777777" w:rsidR="0082747E" w:rsidRDefault="0082747E" w:rsidP="00AC1070"/>
    <w:p w14:paraId="463BFD9B" w14:textId="77777777" w:rsidR="00CF7C7E" w:rsidRDefault="00CF7C7E" w:rsidP="00CF7C7E">
      <w:pPr>
        <w:pStyle w:val="Rubrik2"/>
      </w:pPr>
      <w:r w:rsidRPr="00D32477">
        <w:t>Förnyad konkurrensutsättning</w:t>
      </w:r>
      <w:r>
        <w:t xml:space="preserve"> </w:t>
      </w:r>
      <w:r w:rsidRPr="003B0966">
        <w:rPr>
          <w:color w:val="FF0000"/>
        </w:rPr>
        <w:t xml:space="preserve">(Alternativ </w:t>
      </w:r>
      <w:r>
        <w:rPr>
          <w:color w:val="FF0000"/>
        </w:rPr>
        <w:t xml:space="preserve">3 </w:t>
      </w:r>
      <w:r w:rsidRPr="003B0966">
        <w:rPr>
          <w:color w:val="FF0000"/>
        </w:rPr>
        <w:t>kvalitet)</w:t>
      </w:r>
    </w:p>
    <w:p w14:paraId="067D0AB7" w14:textId="77777777" w:rsidR="00CF7C7E" w:rsidRDefault="00CF7C7E" w:rsidP="00CF7C7E">
      <w:r>
        <w:t>Kontrakt tilldelas den ramavtalsleverantör som lämnat det ekonomiskt mest fördelaktiga anbudet utifrån kvalitet.</w:t>
      </w:r>
    </w:p>
    <w:p w14:paraId="0610B513" w14:textId="77777777" w:rsidR="00CF7C7E" w:rsidRPr="00474F18" w:rsidRDefault="00CF7C7E" w:rsidP="00CF7C7E">
      <w:r>
        <w:t>Leverantörerna ska presentera sina system vid en visning samt ge upphandlande myndighet möjlighet att testa tjänsten under 14 dagar för utvärdering.</w:t>
      </w:r>
    </w:p>
    <w:p w14:paraId="49FF3BEB" w14:textId="77777777" w:rsidR="00CF7C7E" w:rsidRPr="00F844F3" w:rsidRDefault="00CF7C7E" w:rsidP="00CF7C7E">
      <w:pPr>
        <w:rPr>
          <w:color w:val="FF0000"/>
        </w:rPr>
      </w:pPr>
      <w:r>
        <w:t xml:space="preserve">Kvaliteten kommer bedömas enligt nedan: </w:t>
      </w:r>
      <w:r w:rsidRPr="00F844F3">
        <w:rPr>
          <w:color w:val="FF0000"/>
        </w:rPr>
        <w:t>Glöm inte motivera din bedömning så det blir tydligt för leverantören vad de bedömdes på.</w:t>
      </w:r>
    </w:p>
    <w:p w14:paraId="5FAA920B" w14:textId="77777777" w:rsidR="00CF7C7E" w:rsidRPr="008E7A66" w:rsidRDefault="00CF7C7E" w:rsidP="00CF7C7E">
      <w:pPr>
        <w:rPr>
          <w:b/>
          <w:bCs/>
        </w:rPr>
      </w:pPr>
      <w:proofErr w:type="spellStart"/>
      <w:r w:rsidRPr="008E7A66">
        <w:rPr>
          <w:b/>
          <w:bCs/>
        </w:rPr>
        <w:t>Betygskala</w:t>
      </w:r>
      <w:proofErr w:type="spellEnd"/>
    </w:p>
    <w:p w14:paraId="2DB18A83" w14:textId="77777777" w:rsidR="00CF7C7E" w:rsidRDefault="00CF7C7E" w:rsidP="00CF7C7E">
      <w:pPr>
        <w:pStyle w:val="Liststycke"/>
        <w:numPr>
          <w:ilvl w:val="0"/>
          <w:numId w:val="19"/>
        </w:numPr>
      </w:pPr>
      <w:r>
        <w:t>3 poäng = Mycket bra</w:t>
      </w:r>
    </w:p>
    <w:p w14:paraId="0F1B8741" w14:textId="77777777" w:rsidR="00CF7C7E" w:rsidRDefault="00CF7C7E" w:rsidP="00CF7C7E">
      <w:pPr>
        <w:pStyle w:val="Liststycke"/>
        <w:numPr>
          <w:ilvl w:val="0"/>
          <w:numId w:val="19"/>
        </w:numPr>
      </w:pPr>
      <w:r>
        <w:t>2 poäng = Bra</w:t>
      </w:r>
    </w:p>
    <w:p w14:paraId="2E207CEA" w14:textId="77777777" w:rsidR="00CF7C7E" w:rsidRDefault="00CF7C7E" w:rsidP="00CF7C7E">
      <w:pPr>
        <w:pStyle w:val="Liststycke"/>
        <w:numPr>
          <w:ilvl w:val="0"/>
          <w:numId w:val="19"/>
        </w:numPr>
      </w:pPr>
      <w:r>
        <w:t>1 poäng = Mindre bra</w:t>
      </w:r>
    </w:p>
    <w:p w14:paraId="2F64EE9B" w14:textId="77777777" w:rsidR="00CF7C7E" w:rsidRDefault="00CF7C7E" w:rsidP="00CF7C7E">
      <w:pPr>
        <w:pStyle w:val="Liststycke"/>
        <w:numPr>
          <w:ilvl w:val="0"/>
          <w:numId w:val="19"/>
        </w:numPr>
      </w:pPr>
      <w:r>
        <w:t xml:space="preserve">0 poäng = </w:t>
      </w:r>
      <w:proofErr w:type="spellStart"/>
      <w:r>
        <w:t>Otillfredställande</w:t>
      </w:r>
      <w:proofErr w:type="spellEnd"/>
    </w:p>
    <w:tbl>
      <w:tblPr>
        <w:tblStyle w:val="Tabellrutnt"/>
        <w:tblW w:w="0" w:type="auto"/>
        <w:tblLook w:val="04A0" w:firstRow="1" w:lastRow="0" w:firstColumn="1" w:lastColumn="0" w:noHBand="0" w:noVBand="1"/>
      </w:tblPr>
      <w:tblGrid>
        <w:gridCol w:w="4531"/>
        <w:gridCol w:w="4531"/>
      </w:tblGrid>
      <w:tr w:rsidR="00CF7C7E" w:rsidRPr="00443F5D" w14:paraId="5A101F88" w14:textId="77777777" w:rsidTr="00912C05">
        <w:tc>
          <w:tcPr>
            <w:tcW w:w="4531" w:type="dxa"/>
          </w:tcPr>
          <w:p w14:paraId="4E2282BB" w14:textId="77777777" w:rsidR="00CF7C7E" w:rsidRPr="00443F5D" w:rsidRDefault="00CF7C7E" w:rsidP="00912C05">
            <w:pPr>
              <w:rPr>
                <w:b/>
                <w:bCs/>
              </w:rPr>
            </w:pPr>
            <w:r w:rsidRPr="00443F5D">
              <w:rPr>
                <w:b/>
                <w:bCs/>
              </w:rPr>
              <w:t>Bedömning</w:t>
            </w:r>
          </w:p>
        </w:tc>
        <w:tc>
          <w:tcPr>
            <w:tcW w:w="4531" w:type="dxa"/>
          </w:tcPr>
          <w:p w14:paraId="1CFE1248" w14:textId="77777777" w:rsidR="00CF7C7E" w:rsidRPr="00443F5D" w:rsidRDefault="00CF7C7E" w:rsidP="00912C05">
            <w:pPr>
              <w:rPr>
                <w:b/>
                <w:bCs/>
              </w:rPr>
            </w:pPr>
            <w:r w:rsidRPr="00443F5D">
              <w:rPr>
                <w:b/>
                <w:bCs/>
              </w:rPr>
              <w:t>Betyg</w:t>
            </w:r>
          </w:p>
        </w:tc>
      </w:tr>
      <w:tr w:rsidR="00CF7C7E" w14:paraId="522916AA" w14:textId="77777777" w:rsidTr="00912C05">
        <w:tc>
          <w:tcPr>
            <w:tcW w:w="4531" w:type="dxa"/>
          </w:tcPr>
          <w:p w14:paraId="37969A45" w14:textId="77777777" w:rsidR="00CF7C7E" w:rsidRDefault="00CF7C7E" w:rsidP="00912C05">
            <w:r w:rsidRPr="00443F5D">
              <w:rPr>
                <w:b/>
                <w:bCs/>
              </w:rPr>
              <w:lastRenderedPageBreak/>
              <w:t>Effektivitet</w:t>
            </w:r>
            <w:r w:rsidRPr="0063175B">
              <w:t xml:space="preserve"> - Hur väl användare kan uppnå sina mål med systemet.</w:t>
            </w:r>
          </w:p>
          <w:p w14:paraId="27A91831" w14:textId="77777777" w:rsidR="00CF7C7E" w:rsidRDefault="00CF7C7E" w:rsidP="00912C05"/>
        </w:tc>
        <w:tc>
          <w:tcPr>
            <w:tcW w:w="4531" w:type="dxa"/>
          </w:tcPr>
          <w:p w14:paraId="1D11E273" w14:textId="77777777" w:rsidR="00CF7C7E" w:rsidRDefault="00CF7C7E" w:rsidP="00912C05"/>
        </w:tc>
      </w:tr>
      <w:tr w:rsidR="00CF7C7E" w14:paraId="39A49AE4" w14:textId="77777777" w:rsidTr="00912C05">
        <w:tc>
          <w:tcPr>
            <w:tcW w:w="4531" w:type="dxa"/>
          </w:tcPr>
          <w:p w14:paraId="0D575D24" w14:textId="77777777" w:rsidR="00CF7C7E" w:rsidRDefault="00CF7C7E" w:rsidP="00912C05">
            <w:r w:rsidRPr="00443F5D">
              <w:rPr>
                <w:b/>
                <w:bCs/>
              </w:rPr>
              <w:t>Ändamålsenlighet</w:t>
            </w:r>
            <w:r w:rsidRPr="0063175B">
              <w:t xml:space="preserve"> - Hur enkelt användarna kan använda systemet för att uppnå sina mål.</w:t>
            </w:r>
          </w:p>
          <w:p w14:paraId="6B9CD856" w14:textId="77777777" w:rsidR="00CF7C7E" w:rsidRDefault="00CF7C7E" w:rsidP="00912C05"/>
        </w:tc>
        <w:tc>
          <w:tcPr>
            <w:tcW w:w="4531" w:type="dxa"/>
          </w:tcPr>
          <w:p w14:paraId="7B244629" w14:textId="77777777" w:rsidR="00CF7C7E" w:rsidRDefault="00CF7C7E" w:rsidP="00912C05"/>
        </w:tc>
      </w:tr>
      <w:tr w:rsidR="00CF7C7E" w14:paraId="6329036D" w14:textId="77777777" w:rsidTr="00912C05">
        <w:tc>
          <w:tcPr>
            <w:tcW w:w="4531" w:type="dxa"/>
          </w:tcPr>
          <w:p w14:paraId="7AD6EA60" w14:textId="77777777" w:rsidR="00CF7C7E" w:rsidRDefault="00CF7C7E" w:rsidP="00912C05">
            <w:r w:rsidRPr="00443F5D">
              <w:rPr>
                <w:b/>
                <w:bCs/>
              </w:rPr>
              <w:t>Tillfredsställelse</w:t>
            </w:r>
            <w:r w:rsidRPr="0063175B">
              <w:t xml:space="preserve"> - Hur nöjda användarna är med systemet.</w:t>
            </w:r>
          </w:p>
          <w:p w14:paraId="21EA6501" w14:textId="77777777" w:rsidR="00CF7C7E" w:rsidRDefault="00CF7C7E" w:rsidP="00912C05"/>
        </w:tc>
        <w:tc>
          <w:tcPr>
            <w:tcW w:w="4531" w:type="dxa"/>
          </w:tcPr>
          <w:p w14:paraId="3831A238" w14:textId="77777777" w:rsidR="00CF7C7E" w:rsidRDefault="00CF7C7E" w:rsidP="00912C05"/>
        </w:tc>
      </w:tr>
    </w:tbl>
    <w:p w14:paraId="56C45D4B" w14:textId="77777777" w:rsidR="00CF7C7E" w:rsidRPr="00AC1070" w:rsidRDefault="00CF7C7E" w:rsidP="00AC1070"/>
    <w:sectPr w:rsidR="00CF7C7E" w:rsidRPr="00AC10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43E8"/>
    <w:multiLevelType w:val="hybridMultilevel"/>
    <w:tmpl w:val="AE3A57CA"/>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DE0FA0"/>
    <w:multiLevelType w:val="hybridMultilevel"/>
    <w:tmpl w:val="D6180C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9426741"/>
    <w:multiLevelType w:val="hybridMultilevel"/>
    <w:tmpl w:val="CA6AD6E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836547"/>
    <w:multiLevelType w:val="hybridMultilevel"/>
    <w:tmpl w:val="3B2EC98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045623"/>
    <w:multiLevelType w:val="hybridMultilevel"/>
    <w:tmpl w:val="A0FC8FB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CDB42B6"/>
    <w:multiLevelType w:val="hybridMultilevel"/>
    <w:tmpl w:val="18DAD26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F036F75"/>
    <w:multiLevelType w:val="hybridMultilevel"/>
    <w:tmpl w:val="E098DF7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37626BB"/>
    <w:multiLevelType w:val="hybridMultilevel"/>
    <w:tmpl w:val="193C7A6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AA526AA"/>
    <w:multiLevelType w:val="hybridMultilevel"/>
    <w:tmpl w:val="EAD20D0A"/>
    <w:lvl w:ilvl="0" w:tplc="041D000F">
      <w:start w:val="1"/>
      <w:numFmt w:val="decimal"/>
      <w:lvlText w:val="%1."/>
      <w:lvlJc w:val="left"/>
      <w:pPr>
        <w:ind w:left="720" w:hanging="360"/>
      </w:pPr>
    </w:lvl>
    <w:lvl w:ilvl="1" w:tplc="041D000F">
      <w:start w:val="1"/>
      <w:numFmt w:val="decimal"/>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FCB2848"/>
    <w:multiLevelType w:val="hybridMultilevel"/>
    <w:tmpl w:val="28B0302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E243C6"/>
    <w:multiLevelType w:val="hybridMultilevel"/>
    <w:tmpl w:val="A834754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80654B1"/>
    <w:multiLevelType w:val="hybridMultilevel"/>
    <w:tmpl w:val="CAF254F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BFA7EB0"/>
    <w:multiLevelType w:val="multilevel"/>
    <w:tmpl w:val="D35E5620"/>
    <w:lvl w:ilvl="0">
      <w:start w:val="1"/>
      <w:numFmt w:val="decimal"/>
      <w:lvlText w:val="%1."/>
      <w:lvlJc w:val="left"/>
      <w:pPr>
        <w:ind w:left="342" w:hanging="243"/>
      </w:pPr>
      <w:rPr>
        <w:rFonts w:hint="default"/>
        <w:spacing w:val="-3"/>
        <w:w w:val="102"/>
      </w:rPr>
    </w:lvl>
    <w:lvl w:ilvl="1">
      <w:start w:val="1"/>
      <w:numFmt w:val="decimal"/>
      <w:lvlText w:val="%1.%2"/>
      <w:lvlJc w:val="left"/>
      <w:pPr>
        <w:ind w:left="395" w:hanging="395"/>
      </w:pPr>
      <w:rPr>
        <w:rFonts w:ascii="Arial" w:eastAsia="Arial" w:hAnsi="Arial" w:cs="Arial" w:hint="default"/>
        <w:b/>
        <w:bCs/>
        <w:spacing w:val="-2"/>
        <w:w w:val="100"/>
        <w:sz w:val="24"/>
        <w:szCs w:val="24"/>
      </w:rPr>
    </w:lvl>
    <w:lvl w:ilvl="2">
      <w:start w:val="1"/>
      <w:numFmt w:val="decimal"/>
      <w:lvlText w:val="%1.%2.%3"/>
      <w:lvlJc w:val="left"/>
      <w:pPr>
        <w:ind w:left="691" w:hanging="592"/>
      </w:pPr>
      <w:rPr>
        <w:rFonts w:ascii="Arial" w:eastAsia="Arial" w:hAnsi="Arial" w:cs="Arial" w:hint="default"/>
        <w:b/>
        <w:bCs/>
        <w:spacing w:val="-2"/>
        <w:w w:val="100"/>
        <w:sz w:val="24"/>
        <w:szCs w:val="24"/>
      </w:rPr>
    </w:lvl>
    <w:lvl w:ilvl="3">
      <w:start w:val="1"/>
      <w:numFmt w:val="decimal"/>
      <w:lvlText w:val="%1.%2.%3.%4"/>
      <w:lvlJc w:val="left"/>
      <w:pPr>
        <w:ind w:left="895" w:hanging="796"/>
      </w:pPr>
      <w:rPr>
        <w:rFonts w:ascii="Arial" w:eastAsia="Arial" w:hAnsi="Arial" w:cs="Arial" w:hint="default"/>
        <w:b/>
        <w:bCs/>
        <w:spacing w:val="-1"/>
        <w:w w:val="100"/>
        <w:sz w:val="24"/>
        <w:szCs w:val="24"/>
      </w:rPr>
    </w:lvl>
    <w:lvl w:ilvl="4">
      <w:numFmt w:val="bullet"/>
      <w:lvlText w:val="•"/>
      <w:lvlJc w:val="left"/>
      <w:pPr>
        <w:ind w:left="900" w:hanging="796"/>
      </w:pPr>
      <w:rPr>
        <w:rFonts w:hint="default"/>
      </w:rPr>
    </w:lvl>
    <w:lvl w:ilvl="5">
      <w:numFmt w:val="bullet"/>
      <w:lvlText w:val="•"/>
      <w:lvlJc w:val="left"/>
      <w:pPr>
        <w:ind w:left="2276" w:hanging="796"/>
      </w:pPr>
      <w:rPr>
        <w:rFonts w:hint="default"/>
      </w:rPr>
    </w:lvl>
    <w:lvl w:ilvl="6">
      <w:numFmt w:val="bullet"/>
      <w:lvlText w:val="•"/>
      <w:lvlJc w:val="left"/>
      <w:pPr>
        <w:ind w:left="3653" w:hanging="796"/>
      </w:pPr>
      <w:rPr>
        <w:rFonts w:hint="default"/>
      </w:rPr>
    </w:lvl>
    <w:lvl w:ilvl="7">
      <w:numFmt w:val="bullet"/>
      <w:lvlText w:val="•"/>
      <w:lvlJc w:val="left"/>
      <w:pPr>
        <w:ind w:left="5030" w:hanging="796"/>
      </w:pPr>
      <w:rPr>
        <w:rFonts w:hint="default"/>
      </w:rPr>
    </w:lvl>
    <w:lvl w:ilvl="8">
      <w:numFmt w:val="bullet"/>
      <w:lvlText w:val="•"/>
      <w:lvlJc w:val="left"/>
      <w:pPr>
        <w:ind w:left="6406" w:hanging="796"/>
      </w:pPr>
      <w:rPr>
        <w:rFonts w:hint="default"/>
      </w:rPr>
    </w:lvl>
  </w:abstractNum>
  <w:abstractNum w:abstractNumId="13" w15:restartNumberingAfterBreak="0">
    <w:nsid w:val="4FF65708"/>
    <w:multiLevelType w:val="multilevel"/>
    <w:tmpl w:val="924E5E66"/>
    <w:lvl w:ilvl="0">
      <w:start w:val="1"/>
      <w:numFmt w:val="decimal"/>
      <w:lvlText w:val="%1."/>
      <w:lvlJc w:val="left"/>
      <w:pPr>
        <w:ind w:left="418" w:hanging="319"/>
      </w:pPr>
      <w:rPr>
        <w:rFonts w:ascii="Arial" w:eastAsia="Arial" w:hAnsi="Arial" w:cs="Arial" w:hint="default"/>
        <w:b/>
        <w:bCs/>
        <w:w w:val="101"/>
        <w:sz w:val="28"/>
        <w:szCs w:val="28"/>
      </w:rPr>
    </w:lvl>
    <w:lvl w:ilvl="1">
      <w:start w:val="1"/>
      <w:numFmt w:val="decimal"/>
      <w:lvlText w:val="%1.%2"/>
      <w:lvlJc w:val="left"/>
      <w:pPr>
        <w:ind w:left="498" w:hanging="399"/>
      </w:pPr>
      <w:rPr>
        <w:rFonts w:ascii="Arial" w:eastAsia="Arial" w:hAnsi="Arial" w:cs="Arial" w:hint="default"/>
        <w:b/>
        <w:bCs/>
        <w:spacing w:val="-1"/>
        <w:w w:val="100"/>
        <w:sz w:val="24"/>
        <w:szCs w:val="24"/>
      </w:rPr>
    </w:lvl>
    <w:lvl w:ilvl="2">
      <w:start w:val="1"/>
      <w:numFmt w:val="decimal"/>
      <w:lvlText w:val="%1.%2.%3"/>
      <w:lvlJc w:val="left"/>
      <w:pPr>
        <w:ind w:left="601" w:hanging="601"/>
      </w:pPr>
      <w:rPr>
        <w:rFonts w:ascii="Arial" w:eastAsia="Arial" w:hAnsi="Arial" w:cs="Arial" w:hint="default"/>
        <w:b/>
        <w:bCs/>
        <w:spacing w:val="-1"/>
        <w:w w:val="100"/>
        <w:sz w:val="24"/>
        <w:szCs w:val="24"/>
      </w:rPr>
    </w:lvl>
    <w:lvl w:ilvl="3">
      <w:numFmt w:val="bullet"/>
      <w:lvlText w:val="•"/>
      <w:lvlJc w:val="left"/>
      <w:pPr>
        <w:ind w:left="1757" w:hanging="601"/>
      </w:pPr>
      <w:rPr>
        <w:rFonts w:hint="default"/>
      </w:rPr>
    </w:lvl>
    <w:lvl w:ilvl="4">
      <w:numFmt w:val="bullet"/>
      <w:lvlText w:val="•"/>
      <w:lvlJc w:val="left"/>
      <w:pPr>
        <w:ind w:left="2815" w:hanging="601"/>
      </w:pPr>
      <w:rPr>
        <w:rFonts w:hint="default"/>
      </w:rPr>
    </w:lvl>
    <w:lvl w:ilvl="5">
      <w:numFmt w:val="bullet"/>
      <w:lvlText w:val="•"/>
      <w:lvlJc w:val="left"/>
      <w:pPr>
        <w:ind w:left="3872" w:hanging="601"/>
      </w:pPr>
      <w:rPr>
        <w:rFonts w:hint="default"/>
      </w:rPr>
    </w:lvl>
    <w:lvl w:ilvl="6">
      <w:numFmt w:val="bullet"/>
      <w:lvlText w:val="•"/>
      <w:lvlJc w:val="left"/>
      <w:pPr>
        <w:ind w:left="4930" w:hanging="601"/>
      </w:pPr>
      <w:rPr>
        <w:rFonts w:hint="default"/>
      </w:rPr>
    </w:lvl>
    <w:lvl w:ilvl="7">
      <w:numFmt w:val="bullet"/>
      <w:lvlText w:val="•"/>
      <w:lvlJc w:val="left"/>
      <w:pPr>
        <w:ind w:left="5987" w:hanging="601"/>
      </w:pPr>
      <w:rPr>
        <w:rFonts w:hint="default"/>
      </w:rPr>
    </w:lvl>
    <w:lvl w:ilvl="8">
      <w:numFmt w:val="bullet"/>
      <w:lvlText w:val="•"/>
      <w:lvlJc w:val="left"/>
      <w:pPr>
        <w:ind w:left="7045" w:hanging="601"/>
      </w:pPr>
      <w:rPr>
        <w:rFonts w:hint="default"/>
      </w:rPr>
    </w:lvl>
  </w:abstractNum>
  <w:abstractNum w:abstractNumId="14" w15:restartNumberingAfterBreak="0">
    <w:nsid w:val="510B63DC"/>
    <w:multiLevelType w:val="hybridMultilevel"/>
    <w:tmpl w:val="80F8514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EE1360A"/>
    <w:multiLevelType w:val="hybridMultilevel"/>
    <w:tmpl w:val="E8D84AC0"/>
    <w:lvl w:ilvl="0" w:tplc="5BAA1A0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F7E3B1E"/>
    <w:multiLevelType w:val="hybridMultilevel"/>
    <w:tmpl w:val="5E8A3AA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7490766"/>
    <w:multiLevelType w:val="hybridMultilevel"/>
    <w:tmpl w:val="E5208F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DA16C3C"/>
    <w:multiLevelType w:val="hybridMultilevel"/>
    <w:tmpl w:val="184455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69005349">
    <w:abstractNumId w:val="13"/>
  </w:num>
  <w:num w:numId="2" w16cid:durableId="1214462711">
    <w:abstractNumId w:val="12"/>
  </w:num>
  <w:num w:numId="3" w16cid:durableId="1039279258">
    <w:abstractNumId w:val="4"/>
  </w:num>
  <w:num w:numId="4" w16cid:durableId="872814289">
    <w:abstractNumId w:val="11"/>
  </w:num>
  <w:num w:numId="5" w16cid:durableId="1803880861">
    <w:abstractNumId w:val="16"/>
  </w:num>
  <w:num w:numId="6" w16cid:durableId="1112674229">
    <w:abstractNumId w:val="3"/>
  </w:num>
  <w:num w:numId="7" w16cid:durableId="1051929457">
    <w:abstractNumId w:val="14"/>
  </w:num>
  <w:num w:numId="8" w16cid:durableId="518204987">
    <w:abstractNumId w:val="6"/>
  </w:num>
  <w:num w:numId="9" w16cid:durableId="345445609">
    <w:abstractNumId w:val="2"/>
  </w:num>
  <w:num w:numId="10" w16cid:durableId="2029333447">
    <w:abstractNumId w:val="0"/>
  </w:num>
  <w:num w:numId="11" w16cid:durableId="1054088142">
    <w:abstractNumId w:val="8"/>
  </w:num>
  <w:num w:numId="12" w16cid:durableId="1355498638">
    <w:abstractNumId w:val="5"/>
  </w:num>
  <w:num w:numId="13" w16cid:durableId="252126878">
    <w:abstractNumId w:val="7"/>
  </w:num>
  <w:num w:numId="14" w16cid:durableId="284432950">
    <w:abstractNumId w:val="17"/>
  </w:num>
  <w:num w:numId="15" w16cid:durableId="2031180635">
    <w:abstractNumId w:val="10"/>
  </w:num>
  <w:num w:numId="16" w16cid:durableId="321131156">
    <w:abstractNumId w:val="9"/>
  </w:num>
  <w:num w:numId="17" w16cid:durableId="643630474">
    <w:abstractNumId w:val="15"/>
  </w:num>
  <w:num w:numId="18" w16cid:durableId="1383407016">
    <w:abstractNumId w:val="1"/>
  </w:num>
  <w:num w:numId="19" w16cid:durableId="16610339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4F1"/>
    <w:rsid w:val="00007344"/>
    <w:rsid w:val="000256EC"/>
    <w:rsid w:val="00027F69"/>
    <w:rsid w:val="00047871"/>
    <w:rsid w:val="000A1556"/>
    <w:rsid w:val="000C430F"/>
    <w:rsid w:val="000C4BE4"/>
    <w:rsid w:val="00121451"/>
    <w:rsid w:val="00132FC6"/>
    <w:rsid w:val="001353A2"/>
    <w:rsid w:val="00145300"/>
    <w:rsid w:val="001A21C4"/>
    <w:rsid w:val="001B1BE3"/>
    <w:rsid w:val="001D7B47"/>
    <w:rsid w:val="001E2CB0"/>
    <w:rsid w:val="001F2F94"/>
    <w:rsid w:val="001F7DCD"/>
    <w:rsid w:val="0020241D"/>
    <w:rsid w:val="0021050E"/>
    <w:rsid w:val="00250157"/>
    <w:rsid w:val="00270381"/>
    <w:rsid w:val="00277AAD"/>
    <w:rsid w:val="002A3E34"/>
    <w:rsid w:val="002C0044"/>
    <w:rsid w:val="002E56D1"/>
    <w:rsid w:val="002F64F1"/>
    <w:rsid w:val="00315449"/>
    <w:rsid w:val="00335872"/>
    <w:rsid w:val="00342F10"/>
    <w:rsid w:val="003478F0"/>
    <w:rsid w:val="003842AD"/>
    <w:rsid w:val="003D4D13"/>
    <w:rsid w:val="003F0359"/>
    <w:rsid w:val="00414D05"/>
    <w:rsid w:val="0047103D"/>
    <w:rsid w:val="004A1454"/>
    <w:rsid w:val="004D5E01"/>
    <w:rsid w:val="005027AE"/>
    <w:rsid w:val="00526E28"/>
    <w:rsid w:val="0055446D"/>
    <w:rsid w:val="005B76F1"/>
    <w:rsid w:val="005C6F72"/>
    <w:rsid w:val="005F1CA0"/>
    <w:rsid w:val="005F7AFB"/>
    <w:rsid w:val="006152CC"/>
    <w:rsid w:val="00642A55"/>
    <w:rsid w:val="00684C04"/>
    <w:rsid w:val="00703181"/>
    <w:rsid w:val="00726B91"/>
    <w:rsid w:val="007B5995"/>
    <w:rsid w:val="007F042E"/>
    <w:rsid w:val="007F7E59"/>
    <w:rsid w:val="00824D18"/>
    <w:rsid w:val="0082747E"/>
    <w:rsid w:val="008659F3"/>
    <w:rsid w:val="00870C4E"/>
    <w:rsid w:val="00881B3F"/>
    <w:rsid w:val="0089066D"/>
    <w:rsid w:val="008B5749"/>
    <w:rsid w:val="009022F4"/>
    <w:rsid w:val="00917DAB"/>
    <w:rsid w:val="009523A7"/>
    <w:rsid w:val="009A2E20"/>
    <w:rsid w:val="009F0641"/>
    <w:rsid w:val="00A10B08"/>
    <w:rsid w:val="00A41FB8"/>
    <w:rsid w:val="00A73C98"/>
    <w:rsid w:val="00A7625C"/>
    <w:rsid w:val="00A80561"/>
    <w:rsid w:val="00AA195F"/>
    <w:rsid w:val="00AC1070"/>
    <w:rsid w:val="00AE01D8"/>
    <w:rsid w:val="00AF3096"/>
    <w:rsid w:val="00AF5FD6"/>
    <w:rsid w:val="00B01345"/>
    <w:rsid w:val="00B3325C"/>
    <w:rsid w:val="00B5350A"/>
    <w:rsid w:val="00BB75B8"/>
    <w:rsid w:val="00BE508C"/>
    <w:rsid w:val="00C20A44"/>
    <w:rsid w:val="00C37B94"/>
    <w:rsid w:val="00C50CC3"/>
    <w:rsid w:val="00C7032E"/>
    <w:rsid w:val="00CF1CEF"/>
    <w:rsid w:val="00CF7C7E"/>
    <w:rsid w:val="00D063C3"/>
    <w:rsid w:val="00D11B1D"/>
    <w:rsid w:val="00D2311B"/>
    <w:rsid w:val="00D2336E"/>
    <w:rsid w:val="00D84B51"/>
    <w:rsid w:val="00D90E81"/>
    <w:rsid w:val="00D92190"/>
    <w:rsid w:val="00D95E5F"/>
    <w:rsid w:val="00DA2A4C"/>
    <w:rsid w:val="00DC6475"/>
    <w:rsid w:val="00E251AC"/>
    <w:rsid w:val="00E40B9C"/>
    <w:rsid w:val="00E46616"/>
    <w:rsid w:val="00E819B2"/>
    <w:rsid w:val="00EA3A90"/>
    <w:rsid w:val="00F003CA"/>
    <w:rsid w:val="00FA7176"/>
    <w:rsid w:val="00FD37BF"/>
    <w:rsid w:val="00FE0D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6AD14"/>
  <w15:chartTrackingRefBased/>
  <w15:docId w15:val="{ED76E0EB-56BC-46CF-8BD9-A60F81BE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26E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2F64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C50C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7B599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F64F1"/>
    <w:rPr>
      <w:rFonts w:asciiTheme="majorHAnsi" w:eastAsiaTheme="majorEastAsia" w:hAnsiTheme="majorHAnsi" w:cstheme="majorBidi"/>
      <w:color w:val="2E74B5" w:themeColor="accent1" w:themeShade="BF"/>
      <w:sz w:val="26"/>
      <w:szCs w:val="26"/>
    </w:rPr>
  </w:style>
  <w:style w:type="paragraph" w:styleId="Brdtext">
    <w:name w:val="Body Text"/>
    <w:basedOn w:val="Normal"/>
    <w:link w:val="BrdtextChar"/>
    <w:uiPriority w:val="1"/>
    <w:qFormat/>
    <w:rsid w:val="00C50CC3"/>
    <w:pPr>
      <w:widowControl w:val="0"/>
      <w:autoSpaceDE w:val="0"/>
      <w:autoSpaceDN w:val="0"/>
      <w:spacing w:after="0" w:line="240" w:lineRule="auto"/>
    </w:pPr>
    <w:rPr>
      <w:rFonts w:ascii="Arial" w:eastAsia="Arial" w:hAnsi="Arial" w:cs="Arial"/>
      <w:lang w:val="en-US"/>
    </w:rPr>
  </w:style>
  <w:style w:type="character" w:customStyle="1" w:styleId="BrdtextChar">
    <w:name w:val="Brödtext Char"/>
    <w:basedOn w:val="Standardstycketeckensnitt"/>
    <w:link w:val="Brdtext"/>
    <w:uiPriority w:val="1"/>
    <w:rsid w:val="00C50CC3"/>
    <w:rPr>
      <w:rFonts w:ascii="Arial" w:eastAsia="Arial" w:hAnsi="Arial" w:cs="Arial"/>
      <w:lang w:val="en-US"/>
    </w:rPr>
  </w:style>
  <w:style w:type="character" w:customStyle="1" w:styleId="Rubrik3Char">
    <w:name w:val="Rubrik 3 Char"/>
    <w:basedOn w:val="Standardstycketeckensnitt"/>
    <w:link w:val="Rubrik3"/>
    <w:uiPriority w:val="9"/>
    <w:rsid w:val="00C50CC3"/>
    <w:rPr>
      <w:rFonts w:asciiTheme="majorHAnsi" w:eastAsiaTheme="majorEastAsia" w:hAnsiTheme="majorHAnsi" w:cstheme="majorBidi"/>
      <w:color w:val="1F4D78" w:themeColor="accent1" w:themeShade="7F"/>
      <w:sz w:val="24"/>
      <w:szCs w:val="24"/>
    </w:rPr>
  </w:style>
  <w:style w:type="character" w:customStyle="1" w:styleId="Rubrik1Char">
    <w:name w:val="Rubrik 1 Char"/>
    <w:basedOn w:val="Standardstycketeckensnitt"/>
    <w:link w:val="Rubrik1"/>
    <w:uiPriority w:val="9"/>
    <w:rsid w:val="00526E28"/>
    <w:rPr>
      <w:rFonts w:asciiTheme="majorHAnsi" w:eastAsiaTheme="majorEastAsia" w:hAnsiTheme="majorHAnsi" w:cstheme="majorBidi"/>
      <w:color w:val="2E74B5" w:themeColor="accent1" w:themeShade="BF"/>
      <w:sz w:val="32"/>
      <w:szCs w:val="32"/>
    </w:rPr>
  </w:style>
  <w:style w:type="paragraph" w:styleId="Liststycke">
    <w:name w:val="List Paragraph"/>
    <w:basedOn w:val="Normal"/>
    <w:uiPriority w:val="34"/>
    <w:qFormat/>
    <w:rsid w:val="00E46616"/>
    <w:pPr>
      <w:ind w:left="720"/>
      <w:contextualSpacing/>
    </w:pPr>
  </w:style>
  <w:style w:type="paragraph" w:styleId="Rubrik">
    <w:name w:val="Title"/>
    <w:basedOn w:val="Normal"/>
    <w:next w:val="Normal"/>
    <w:link w:val="RubrikChar"/>
    <w:uiPriority w:val="10"/>
    <w:qFormat/>
    <w:rsid w:val="007B59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B5995"/>
    <w:rPr>
      <w:rFonts w:asciiTheme="majorHAnsi" w:eastAsiaTheme="majorEastAsia" w:hAnsiTheme="majorHAnsi" w:cstheme="majorBidi"/>
      <w:spacing w:val="-10"/>
      <w:kern w:val="28"/>
      <w:sz w:val="56"/>
      <w:szCs w:val="56"/>
    </w:rPr>
  </w:style>
  <w:style w:type="character" w:customStyle="1" w:styleId="Rubrik4Char">
    <w:name w:val="Rubrik 4 Char"/>
    <w:basedOn w:val="Standardstycketeckensnitt"/>
    <w:link w:val="Rubrik4"/>
    <w:uiPriority w:val="9"/>
    <w:rsid w:val="007B5995"/>
    <w:rPr>
      <w:rFonts w:asciiTheme="majorHAnsi" w:eastAsiaTheme="majorEastAsia" w:hAnsiTheme="majorHAnsi" w:cstheme="majorBidi"/>
      <w:i/>
      <w:iCs/>
      <w:color w:val="2E74B5" w:themeColor="accent1" w:themeShade="BF"/>
    </w:rPr>
  </w:style>
  <w:style w:type="paragraph" w:styleId="Ingetavstnd">
    <w:name w:val="No Spacing"/>
    <w:uiPriority w:val="1"/>
    <w:qFormat/>
    <w:rsid w:val="007B5995"/>
    <w:pPr>
      <w:spacing w:after="0" w:line="240" w:lineRule="auto"/>
    </w:pPr>
  </w:style>
  <w:style w:type="character" w:styleId="Hyperlnk">
    <w:name w:val="Hyperlink"/>
    <w:basedOn w:val="Standardstycketeckensnitt"/>
    <w:uiPriority w:val="99"/>
    <w:unhideWhenUsed/>
    <w:rsid w:val="008B5749"/>
    <w:rPr>
      <w:color w:val="0563C1" w:themeColor="hyperlink"/>
      <w:u w:val="single"/>
    </w:rPr>
  </w:style>
  <w:style w:type="character" w:styleId="Kommentarsreferens">
    <w:name w:val="annotation reference"/>
    <w:basedOn w:val="Standardstycketeckensnitt"/>
    <w:uiPriority w:val="99"/>
    <w:semiHidden/>
    <w:unhideWhenUsed/>
    <w:rsid w:val="00C7032E"/>
    <w:rPr>
      <w:sz w:val="16"/>
      <w:szCs w:val="16"/>
    </w:rPr>
  </w:style>
  <w:style w:type="paragraph" w:styleId="Kommentarer">
    <w:name w:val="annotation text"/>
    <w:basedOn w:val="Normal"/>
    <w:link w:val="KommentarerChar"/>
    <w:uiPriority w:val="99"/>
    <w:unhideWhenUsed/>
    <w:rsid w:val="00C7032E"/>
    <w:pPr>
      <w:spacing w:line="240" w:lineRule="auto"/>
    </w:pPr>
    <w:rPr>
      <w:sz w:val="20"/>
      <w:szCs w:val="20"/>
    </w:rPr>
  </w:style>
  <w:style w:type="character" w:customStyle="1" w:styleId="KommentarerChar">
    <w:name w:val="Kommentarer Char"/>
    <w:basedOn w:val="Standardstycketeckensnitt"/>
    <w:link w:val="Kommentarer"/>
    <w:uiPriority w:val="99"/>
    <w:rsid w:val="00C7032E"/>
    <w:rPr>
      <w:sz w:val="20"/>
      <w:szCs w:val="20"/>
    </w:rPr>
  </w:style>
  <w:style w:type="paragraph" w:styleId="Kommentarsmne">
    <w:name w:val="annotation subject"/>
    <w:basedOn w:val="Kommentarer"/>
    <w:next w:val="Kommentarer"/>
    <w:link w:val="KommentarsmneChar"/>
    <w:uiPriority w:val="99"/>
    <w:semiHidden/>
    <w:unhideWhenUsed/>
    <w:rsid w:val="00C7032E"/>
    <w:rPr>
      <w:b/>
      <w:bCs/>
    </w:rPr>
  </w:style>
  <w:style w:type="character" w:customStyle="1" w:styleId="KommentarsmneChar">
    <w:name w:val="Kommentarsämne Char"/>
    <w:basedOn w:val="KommentarerChar"/>
    <w:link w:val="Kommentarsmne"/>
    <w:uiPriority w:val="99"/>
    <w:semiHidden/>
    <w:rsid w:val="00C7032E"/>
    <w:rPr>
      <w:b/>
      <w:bCs/>
      <w:sz w:val="20"/>
      <w:szCs w:val="20"/>
    </w:rPr>
  </w:style>
  <w:style w:type="character" w:styleId="Stark">
    <w:name w:val="Strong"/>
    <w:basedOn w:val="Standardstycketeckensnitt"/>
    <w:uiPriority w:val="22"/>
    <w:qFormat/>
    <w:rsid w:val="00A41FB8"/>
    <w:rPr>
      <w:b/>
      <w:bCs/>
    </w:rPr>
  </w:style>
  <w:style w:type="character" w:styleId="Starkbetoning">
    <w:name w:val="Intense Emphasis"/>
    <w:basedOn w:val="Standardstycketeckensnitt"/>
    <w:uiPriority w:val="21"/>
    <w:qFormat/>
    <w:rsid w:val="00A41FB8"/>
    <w:rPr>
      <w:i/>
      <w:iCs/>
      <w:color w:val="5B9BD5" w:themeColor="accent1"/>
    </w:rPr>
  </w:style>
  <w:style w:type="table" w:styleId="Tabellrutnt">
    <w:name w:val="Table Grid"/>
    <w:basedOn w:val="Normaltabell"/>
    <w:uiPriority w:val="39"/>
    <w:rsid w:val="002A3E3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8026F-6A7F-47C0-A0B7-FEC3A5C28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1315</Words>
  <Characters>6974</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Salmela Pia</dc:creator>
  <cp:keywords/>
  <dc:description/>
  <cp:lastModifiedBy>Spångmark Hugo</cp:lastModifiedBy>
  <cp:revision>2</cp:revision>
  <dcterms:created xsi:type="dcterms:W3CDTF">2024-10-01T08:57:00Z</dcterms:created>
  <dcterms:modified xsi:type="dcterms:W3CDTF">2024-10-01T08:57:00Z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0841d3-7ec7-4888-8880-588887816efc_Enabled">
    <vt:lpwstr>true</vt:lpwstr>
  </property>
  <property fmtid="{D5CDD505-2E9C-101B-9397-08002B2CF9AE}" pid="3" name="MSIP_Label_de0841d3-7ec7-4888-8880-588887816efc_SetDate">
    <vt:lpwstr>2024-05-27T13:32:45Z</vt:lpwstr>
  </property>
  <property fmtid="{D5CDD505-2E9C-101B-9397-08002B2CF9AE}" pid="4" name="MSIP_Label_de0841d3-7ec7-4888-8880-588887816efc_Method">
    <vt:lpwstr>Standard</vt:lpwstr>
  </property>
  <property fmtid="{D5CDD505-2E9C-101B-9397-08002B2CF9AE}" pid="5" name="MSIP_Label_de0841d3-7ec7-4888-8880-588887816efc_Name">
    <vt:lpwstr>B3 Konfidentiellt - unmarked</vt:lpwstr>
  </property>
  <property fmtid="{D5CDD505-2E9C-101B-9397-08002B2CF9AE}" pid="6" name="MSIP_Label_de0841d3-7ec7-4888-8880-588887816efc_SiteId">
    <vt:lpwstr>b238764b-05b9-48a7-a2bd-55a357dee4ae</vt:lpwstr>
  </property>
  <property fmtid="{D5CDD505-2E9C-101B-9397-08002B2CF9AE}" pid="7" name="MSIP_Label_de0841d3-7ec7-4888-8880-588887816efc_ActionId">
    <vt:lpwstr>838582b6-8e4f-4c27-bf60-ddbdac73dcc2</vt:lpwstr>
  </property>
  <property fmtid="{D5CDD505-2E9C-101B-9397-08002B2CF9AE}" pid="8" name="MSIP_Label_de0841d3-7ec7-4888-8880-588887816efc_ContentBits">
    <vt:lpwstr>0</vt:lpwstr>
  </property>
</Properties>
</file>